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695325" cy="784225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69532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10EFF" w:rsidRDefault="00010EFF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10EFF" w:rsidRDefault="00E13CC6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Более 19</w:t>
      </w:r>
      <w:r w:rsidR="005678B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тысяч объектов оформлено в Татарстане </w:t>
      </w:r>
    </w:p>
    <w:p w:rsidR="00010EFF" w:rsidRDefault="005678B3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по «гаражной амнистии»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За время действия «гаражной амнистии» с сентября 2021 года в регионе оформлено в упрощенном порядке 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7,6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гаражей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 11, 2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под ними – всего порядка 19 тысяч объектов.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Республика Татарстан занимает одну из лидирующих позиций в России по показателям зарегистрированных гаражей. Также больше всего гаражей зарегистрировали в Омской (12,6 тыс.), Московской (8 тыс.) и Тюменской областях (7,7 тыс.).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</w:t>
      </w:r>
      <w:r w:rsidR="00E13CC6"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 и февраль 2025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888 объектов гаражного назначения.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«Жители Татарстана активно пользуются «гаражной амнистией». Только за 2024 год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зарегистрировано более 5,2 тысяч объектов, в том числе свыше 1,8 тысяч гаражей и 3,4 тысяч земельных участков. Учитывая социальную значимость закона,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предлагает продлить его действие. Напомню, в настоящее время оформить объекты в собственность по «гаражной амнистии» можно  до 1 сентября 2026 года», - сообщила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и.о. начальника отдела государственной регистрации недвижимости Управления </w:t>
      </w:r>
      <w:proofErr w:type="spellStart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Светлана Потапова. </w:t>
      </w:r>
    </w:p>
    <w:p w:rsidR="00FD1872" w:rsidRPr="003A19D7" w:rsidRDefault="00BE2FBF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010EFF" w:rsidRDefault="00FD1872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формить права в упрощенном порядке можно </w:t>
      </w:r>
      <w:r w:rsidR="00E13CC6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 xml:space="preserve">на земельные участки </w:t>
      </w:r>
      <w:bookmarkStart w:id="0" w:name="_GoBack"/>
      <w:bookmarkEnd w:id="0"/>
      <w:r w:rsidR="005678B3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>и гаражи, которые были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 возведены до вступления в силу Градостроительного кодекса РФ (до 30</w:t>
      </w:r>
      <w:proofErr w:type="gramEnd"/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 декабря 2004 года). 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Если ранее упрощенный порядок регистрации распространялся только на одноэтажные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 и землю под ними, то с ноября 2024 года  это право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получили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и владельцы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двухэтажных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гаражей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</w:rPr>
        <w:t>.</w:t>
      </w:r>
      <w:r>
        <w:rPr>
          <w:rFonts w:ascii="Segoe UI" w:eastAsia="PT Serif Caption" w:hAnsi="Segoe UI" w:cs="Segoe UI"/>
          <w:color w:val="000000" w:themeColor="text1"/>
          <w:sz w:val="24"/>
          <w:szCs w:val="24"/>
        </w:rPr>
        <w:t xml:space="preserve"> 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>«Гаражная амнистия» не распространяется на самовольные постройки, подлежащие сносу, гаражи, входящие в состав многоквартирных домов, и гаражи, построенные после 30 декабря 2004 года.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Pr="00E13CC6" w:rsidRDefault="00010EFF">
      <w:pPr>
        <w:spacing w:after="0" w:line="240" w:lineRule="atLeast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010EFF" w:rsidRDefault="00D0736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9" w:tooltip="https://rosreestr.tatarstan.ru" w:history="1">
        <w:r w:rsidR="005678B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010EFF" w:rsidRDefault="005678B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10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010EFF" w:rsidSect="008E6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B5" w:rsidRDefault="00B753B5">
      <w:pPr>
        <w:spacing w:after="0" w:line="240" w:lineRule="auto"/>
      </w:pPr>
      <w:r>
        <w:separator/>
      </w:r>
    </w:p>
  </w:endnote>
  <w:endnote w:type="continuationSeparator" w:id="0">
    <w:p w:rsidR="00B753B5" w:rsidRDefault="00B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 Caption">
    <w:altName w:val="Lucida Fax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B5" w:rsidRDefault="00B753B5">
      <w:pPr>
        <w:spacing w:after="0" w:line="240" w:lineRule="auto"/>
      </w:pPr>
      <w:r>
        <w:separator/>
      </w:r>
    </w:p>
  </w:footnote>
  <w:footnote w:type="continuationSeparator" w:id="0">
    <w:p w:rsidR="00B753B5" w:rsidRDefault="00B7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44F7"/>
    <w:multiLevelType w:val="hybridMultilevel"/>
    <w:tmpl w:val="E9FE3B08"/>
    <w:lvl w:ilvl="0" w:tplc="FAC03422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83D4D932">
      <w:start w:val="1"/>
      <w:numFmt w:val="lowerLetter"/>
      <w:lvlText w:val="%2."/>
      <w:lvlJc w:val="left"/>
      <w:pPr>
        <w:ind w:left="2148" w:hanging="360"/>
      </w:pPr>
    </w:lvl>
    <w:lvl w:ilvl="2" w:tplc="D98EB86E">
      <w:start w:val="1"/>
      <w:numFmt w:val="lowerRoman"/>
      <w:lvlText w:val="%3."/>
      <w:lvlJc w:val="right"/>
      <w:pPr>
        <w:ind w:left="2868" w:hanging="180"/>
      </w:pPr>
    </w:lvl>
    <w:lvl w:ilvl="3" w:tplc="D8584E78">
      <w:start w:val="1"/>
      <w:numFmt w:val="decimal"/>
      <w:lvlText w:val="%4."/>
      <w:lvlJc w:val="left"/>
      <w:pPr>
        <w:ind w:left="3588" w:hanging="360"/>
      </w:pPr>
    </w:lvl>
    <w:lvl w:ilvl="4" w:tplc="A36873A4">
      <w:start w:val="1"/>
      <w:numFmt w:val="lowerLetter"/>
      <w:lvlText w:val="%5."/>
      <w:lvlJc w:val="left"/>
      <w:pPr>
        <w:ind w:left="4308" w:hanging="360"/>
      </w:pPr>
    </w:lvl>
    <w:lvl w:ilvl="5" w:tplc="B4CCA9A2">
      <w:start w:val="1"/>
      <w:numFmt w:val="lowerRoman"/>
      <w:lvlText w:val="%6."/>
      <w:lvlJc w:val="right"/>
      <w:pPr>
        <w:ind w:left="5028" w:hanging="180"/>
      </w:pPr>
    </w:lvl>
    <w:lvl w:ilvl="6" w:tplc="1CA4455E">
      <w:start w:val="1"/>
      <w:numFmt w:val="decimal"/>
      <w:lvlText w:val="%7."/>
      <w:lvlJc w:val="left"/>
      <w:pPr>
        <w:ind w:left="5748" w:hanging="360"/>
      </w:pPr>
    </w:lvl>
    <w:lvl w:ilvl="7" w:tplc="B4F6CCCE">
      <w:start w:val="1"/>
      <w:numFmt w:val="lowerLetter"/>
      <w:lvlText w:val="%8."/>
      <w:lvlJc w:val="left"/>
      <w:pPr>
        <w:ind w:left="6468" w:hanging="360"/>
      </w:pPr>
    </w:lvl>
    <w:lvl w:ilvl="8" w:tplc="B2DE72DA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D81020"/>
    <w:multiLevelType w:val="hybridMultilevel"/>
    <w:tmpl w:val="8BE4325C"/>
    <w:lvl w:ilvl="0" w:tplc="73C4B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2A686E0">
      <w:start w:val="1"/>
      <w:numFmt w:val="lowerLetter"/>
      <w:lvlText w:val="%2."/>
      <w:lvlJc w:val="left"/>
      <w:pPr>
        <w:ind w:left="1788" w:hanging="360"/>
      </w:pPr>
    </w:lvl>
    <w:lvl w:ilvl="2" w:tplc="E1AC41B4">
      <w:start w:val="1"/>
      <w:numFmt w:val="lowerRoman"/>
      <w:lvlText w:val="%3."/>
      <w:lvlJc w:val="right"/>
      <w:pPr>
        <w:ind w:left="2508" w:hanging="180"/>
      </w:pPr>
    </w:lvl>
    <w:lvl w:ilvl="3" w:tplc="FBCC466C">
      <w:start w:val="1"/>
      <w:numFmt w:val="decimal"/>
      <w:lvlText w:val="%4."/>
      <w:lvlJc w:val="left"/>
      <w:pPr>
        <w:ind w:left="3228" w:hanging="360"/>
      </w:pPr>
    </w:lvl>
    <w:lvl w:ilvl="4" w:tplc="1AA0DD28">
      <w:start w:val="1"/>
      <w:numFmt w:val="lowerLetter"/>
      <w:lvlText w:val="%5."/>
      <w:lvlJc w:val="left"/>
      <w:pPr>
        <w:ind w:left="3948" w:hanging="360"/>
      </w:pPr>
    </w:lvl>
    <w:lvl w:ilvl="5" w:tplc="D0784378">
      <w:start w:val="1"/>
      <w:numFmt w:val="lowerRoman"/>
      <w:lvlText w:val="%6."/>
      <w:lvlJc w:val="right"/>
      <w:pPr>
        <w:ind w:left="4668" w:hanging="180"/>
      </w:pPr>
    </w:lvl>
    <w:lvl w:ilvl="6" w:tplc="E5EE985E">
      <w:start w:val="1"/>
      <w:numFmt w:val="decimal"/>
      <w:lvlText w:val="%7."/>
      <w:lvlJc w:val="left"/>
      <w:pPr>
        <w:ind w:left="5388" w:hanging="360"/>
      </w:pPr>
    </w:lvl>
    <w:lvl w:ilvl="7" w:tplc="CB60C846">
      <w:start w:val="1"/>
      <w:numFmt w:val="lowerLetter"/>
      <w:lvlText w:val="%8."/>
      <w:lvlJc w:val="left"/>
      <w:pPr>
        <w:ind w:left="6108" w:hanging="360"/>
      </w:pPr>
    </w:lvl>
    <w:lvl w:ilvl="8" w:tplc="D83610A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E65D8B"/>
    <w:multiLevelType w:val="hybridMultilevel"/>
    <w:tmpl w:val="C36EEDCE"/>
    <w:lvl w:ilvl="0" w:tplc="B0E23A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8B4A9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945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6F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76ED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729B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6A46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3E8A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6462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F723A5"/>
    <w:multiLevelType w:val="hybridMultilevel"/>
    <w:tmpl w:val="2E827742"/>
    <w:lvl w:ilvl="0" w:tplc="C512F9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C9C84AA">
      <w:start w:val="1"/>
      <w:numFmt w:val="lowerLetter"/>
      <w:lvlText w:val="%2."/>
      <w:lvlJc w:val="left"/>
      <w:pPr>
        <w:ind w:left="2148" w:hanging="360"/>
      </w:pPr>
    </w:lvl>
    <w:lvl w:ilvl="2" w:tplc="0D98BF42">
      <w:start w:val="1"/>
      <w:numFmt w:val="lowerRoman"/>
      <w:lvlText w:val="%3."/>
      <w:lvlJc w:val="right"/>
      <w:pPr>
        <w:ind w:left="2868" w:hanging="180"/>
      </w:pPr>
    </w:lvl>
    <w:lvl w:ilvl="3" w:tplc="FCE448E8">
      <w:start w:val="1"/>
      <w:numFmt w:val="decimal"/>
      <w:lvlText w:val="%4."/>
      <w:lvlJc w:val="left"/>
      <w:pPr>
        <w:ind w:left="3588" w:hanging="360"/>
      </w:pPr>
    </w:lvl>
    <w:lvl w:ilvl="4" w:tplc="664E298C">
      <w:start w:val="1"/>
      <w:numFmt w:val="lowerLetter"/>
      <w:lvlText w:val="%5."/>
      <w:lvlJc w:val="left"/>
      <w:pPr>
        <w:ind w:left="4308" w:hanging="360"/>
      </w:pPr>
    </w:lvl>
    <w:lvl w:ilvl="5" w:tplc="584E128C">
      <w:start w:val="1"/>
      <w:numFmt w:val="lowerRoman"/>
      <w:lvlText w:val="%6."/>
      <w:lvlJc w:val="right"/>
      <w:pPr>
        <w:ind w:left="5028" w:hanging="180"/>
      </w:pPr>
    </w:lvl>
    <w:lvl w:ilvl="6" w:tplc="D1148A0C">
      <w:start w:val="1"/>
      <w:numFmt w:val="decimal"/>
      <w:lvlText w:val="%7."/>
      <w:lvlJc w:val="left"/>
      <w:pPr>
        <w:ind w:left="5748" w:hanging="360"/>
      </w:pPr>
    </w:lvl>
    <w:lvl w:ilvl="7" w:tplc="5D0E6744">
      <w:start w:val="1"/>
      <w:numFmt w:val="lowerLetter"/>
      <w:lvlText w:val="%8."/>
      <w:lvlJc w:val="left"/>
      <w:pPr>
        <w:ind w:left="6468" w:hanging="360"/>
      </w:pPr>
    </w:lvl>
    <w:lvl w:ilvl="8" w:tplc="2FB0FD84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8935A90"/>
    <w:multiLevelType w:val="hybridMultilevel"/>
    <w:tmpl w:val="1D10452C"/>
    <w:lvl w:ilvl="0" w:tplc="3B6616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DA515E">
      <w:start w:val="1"/>
      <w:numFmt w:val="lowerLetter"/>
      <w:lvlText w:val="%2."/>
      <w:lvlJc w:val="left"/>
      <w:pPr>
        <w:ind w:left="1440" w:hanging="360"/>
      </w:pPr>
    </w:lvl>
    <w:lvl w:ilvl="2" w:tplc="12267B74">
      <w:start w:val="1"/>
      <w:numFmt w:val="lowerRoman"/>
      <w:lvlText w:val="%3."/>
      <w:lvlJc w:val="right"/>
      <w:pPr>
        <w:ind w:left="2160" w:hanging="180"/>
      </w:pPr>
    </w:lvl>
    <w:lvl w:ilvl="3" w:tplc="713A5DD0">
      <w:start w:val="1"/>
      <w:numFmt w:val="decimal"/>
      <w:lvlText w:val="%4."/>
      <w:lvlJc w:val="left"/>
      <w:pPr>
        <w:ind w:left="2880" w:hanging="360"/>
      </w:pPr>
    </w:lvl>
    <w:lvl w:ilvl="4" w:tplc="633EC8AA">
      <w:start w:val="1"/>
      <w:numFmt w:val="lowerLetter"/>
      <w:lvlText w:val="%5."/>
      <w:lvlJc w:val="left"/>
      <w:pPr>
        <w:ind w:left="3600" w:hanging="360"/>
      </w:pPr>
    </w:lvl>
    <w:lvl w:ilvl="5" w:tplc="9B80EA96">
      <w:start w:val="1"/>
      <w:numFmt w:val="lowerRoman"/>
      <w:lvlText w:val="%6."/>
      <w:lvlJc w:val="right"/>
      <w:pPr>
        <w:ind w:left="4320" w:hanging="180"/>
      </w:pPr>
    </w:lvl>
    <w:lvl w:ilvl="6" w:tplc="0F4E60E4">
      <w:start w:val="1"/>
      <w:numFmt w:val="decimal"/>
      <w:lvlText w:val="%7."/>
      <w:lvlJc w:val="left"/>
      <w:pPr>
        <w:ind w:left="5040" w:hanging="360"/>
      </w:pPr>
    </w:lvl>
    <w:lvl w:ilvl="7" w:tplc="A558CA7A">
      <w:start w:val="1"/>
      <w:numFmt w:val="lowerLetter"/>
      <w:lvlText w:val="%8."/>
      <w:lvlJc w:val="left"/>
      <w:pPr>
        <w:ind w:left="5760" w:hanging="360"/>
      </w:pPr>
    </w:lvl>
    <w:lvl w:ilvl="8" w:tplc="3A7AC4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0EFF"/>
    <w:rsid w:val="00010EFF"/>
    <w:rsid w:val="00252777"/>
    <w:rsid w:val="002C1D16"/>
    <w:rsid w:val="003A19D7"/>
    <w:rsid w:val="005678B3"/>
    <w:rsid w:val="005E5FF1"/>
    <w:rsid w:val="00704494"/>
    <w:rsid w:val="008E67E5"/>
    <w:rsid w:val="00B753B5"/>
    <w:rsid w:val="00BE2FBF"/>
    <w:rsid w:val="00D07367"/>
    <w:rsid w:val="00D32D12"/>
    <w:rsid w:val="00E13CC6"/>
    <w:rsid w:val="00EF1D89"/>
    <w:rsid w:val="00F210F8"/>
    <w:rsid w:val="00FD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E5"/>
  </w:style>
  <w:style w:type="paragraph" w:styleId="1">
    <w:name w:val="heading 1"/>
    <w:basedOn w:val="a"/>
    <w:next w:val="a"/>
    <w:link w:val="10"/>
    <w:uiPriority w:val="9"/>
    <w:qFormat/>
    <w:rsid w:val="008E67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67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67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67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67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67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E67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E67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E67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E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67E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67E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67E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67E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67E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67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67E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67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67E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E67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67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7E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67E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67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67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67E5"/>
    <w:rPr>
      <w:i/>
    </w:rPr>
  </w:style>
  <w:style w:type="paragraph" w:styleId="a9">
    <w:name w:val="header"/>
    <w:basedOn w:val="a"/>
    <w:link w:val="aa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67E5"/>
  </w:style>
  <w:style w:type="paragraph" w:styleId="ab">
    <w:name w:val="footer"/>
    <w:basedOn w:val="a"/>
    <w:link w:val="ac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E67E5"/>
  </w:style>
  <w:style w:type="paragraph" w:styleId="ad">
    <w:name w:val="caption"/>
    <w:basedOn w:val="a"/>
    <w:next w:val="a"/>
    <w:uiPriority w:val="35"/>
    <w:semiHidden/>
    <w:unhideWhenUsed/>
    <w:qFormat/>
    <w:rsid w:val="008E67E5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E67E5"/>
  </w:style>
  <w:style w:type="table" w:styleId="ae">
    <w:name w:val="Table Grid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E67E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8E67E5"/>
    <w:rPr>
      <w:sz w:val="18"/>
    </w:rPr>
  </w:style>
  <w:style w:type="character" w:styleId="af1">
    <w:name w:val="footnote reference"/>
    <w:basedOn w:val="a0"/>
    <w:uiPriority w:val="99"/>
    <w:unhideWhenUsed/>
    <w:rsid w:val="008E67E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E67E5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8E67E5"/>
    <w:rPr>
      <w:sz w:val="20"/>
    </w:rPr>
  </w:style>
  <w:style w:type="character" w:styleId="af4">
    <w:name w:val="endnote reference"/>
    <w:basedOn w:val="a0"/>
    <w:uiPriority w:val="99"/>
    <w:semiHidden/>
    <w:unhideWhenUsed/>
    <w:rsid w:val="008E67E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67E5"/>
    <w:pPr>
      <w:spacing w:after="57"/>
    </w:pPr>
  </w:style>
  <w:style w:type="paragraph" w:styleId="23">
    <w:name w:val="toc 2"/>
    <w:basedOn w:val="a"/>
    <w:next w:val="a"/>
    <w:uiPriority w:val="39"/>
    <w:unhideWhenUsed/>
    <w:rsid w:val="008E67E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E67E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67E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67E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67E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67E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67E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67E5"/>
    <w:pPr>
      <w:spacing w:after="57"/>
      <w:ind w:left="2268"/>
    </w:pPr>
  </w:style>
  <w:style w:type="paragraph" w:styleId="af5">
    <w:name w:val="TOC Heading"/>
    <w:uiPriority w:val="39"/>
    <w:unhideWhenUsed/>
    <w:rsid w:val="008E67E5"/>
  </w:style>
  <w:style w:type="paragraph" w:styleId="af6">
    <w:name w:val="table of figures"/>
    <w:basedOn w:val="a"/>
    <w:next w:val="a"/>
    <w:uiPriority w:val="99"/>
    <w:unhideWhenUsed/>
    <w:rsid w:val="008E67E5"/>
    <w:pPr>
      <w:spacing w:after="0"/>
    </w:pPr>
  </w:style>
  <w:style w:type="character" w:styleId="af7">
    <w:name w:val="Hyperlink"/>
    <w:basedOn w:val="a0"/>
    <w:uiPriority w:val="99"/>
    <w:unhideWhenUsed/>
    <w:rsid w:val="008E67E5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8E67E5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8E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8E67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rosreestr_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FCFB-F26B-4FC5-9714-6047928F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2025-03-11T08:56:00Z</cp:lastPrinted>
  <dcterms:created xsi:type="dcterms:W3CDTF">2025-03-13T08:18:00Z</dcterms:created>
  <dcterms:modified xsi:type="dcterms:W3CDTF">2025-03-27T05:55:00Z</dcterms:modified>
</cp:coreProperties>
</file>