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A9" w:rsidRPr="00115486" w:rsidRDefault="00207EE5" w:rsidP="00115486">
      <w:pPr>
        <w:pStyle w:val="ac"/>
        <w:spacing w:after="0"/>
        <w:ind w:firstLine="794"/>
        <w:jc w:val="center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eastAsiaTheme="minorEastAsia" w:hAnsi="Times New Roman" w:cs="Times New Roman"/>
          <w:b/>
          <w:sz w:val="28"/>
          <w:szCs w:val="28"/>
        </w:rPr>
        <w:t>О работе Контрольно-счетной палаты Высокогорского</w:t>
      </w:r>
    </w:p>
    <w:p w:rsidR="009612A9" w:rsidRPr="00115486" w:rsidRDefault="00207EE5" w:rsidP="00115486">
      <w:pPr>
        <w:pStyle w:val="ac"/>
        <w:spacing w:after="0"/>
        <w:ind w:firstLine="794"/>
        <w:jc w:val="center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eastAsiaTheme="minorEastAsia" w:hAnsi="Times New Roman" w:cs="Times New Roman"/>
          <w:b/>
          <w:sz w:val="28"/>
          <w:szCs w:val="28"/>
        </w:rPr>
        <w:t xml:space="preserve">муниципального района </w:t>
      </w:r>
      <w:r w:rsidRPr="00115486">
        <w:rPr>
          <w:rFonts w:ascii="Times New Roman" w:eastAsiaTheme="minorEastAsia" w:hAnsi="Times New Roman" w:cs="Times New Roman"/>
          <w:b/>
          <w:sz w:val="28"/>
          <w:szCs w:val="28"/>
          <w:lang w:val="tt-RU"/>
        </w:rPr>
        <w:t>за 2024 год</w:t>
      </w:r>
    </w:p>
    <w:p w:rsidR="009612A9" w:rsidRPr="00115486" w:rsidRDefault="00207EE5" w:rsidP="00115486">
      <w:pPr>
        <w:pStyle w:val="ac"/>
        <w:spacing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 Федеральным законом от 7 февраля 2011 года № 6-ФЗ «Об общих принципах организации и деятельности </w:t>
      </w:r>
      <w:proofErr w:type="spellStart"/>
      <w:r w:rsidRPr="00115486">
        <w:rPr>
          <w:rFonts w:ascii="Times New Roman" w:eastAsiaTheme="minorEastAsia" w:hAnsi="Times New Roman" w:cs="Times New Roman"/>
          <w:sz w:val="28"/>
          <w:szCs w:val="28"/>
        </w:rPr>
        <w:t>контрольно</w:t>
      </w:r>
      <w:proofErr w:type="spellEnd"/>
      <w:r w:rsidRPr="00115486">
        <w:rPr>
          <w:rFonts w:ascii="Times New Roman" w:eastAsiaTheme="minorEastAsia" w:hAnsi="Times New Roman" w:cs="Times New Roman"/>
          <w:sz w:val="28"/>
          <w:szCs w:val="28"/>
        </w:rPr>
        <w:t xml:space="preserve"> - счетных органов субъектов Российской Федерации и муниципальных образований», Законом Республики Татарстан от 17 мая 2012 года № 21-ЗРТ «Об отдельных вопросах организации и деятельности контрольно-счетных органов муниципальных образований Республики Татарстан», Уставом муниципального образования «Высокогорский муниципальный район Республики Татарстан», Положением «О Контрольно-счетной палате Высокогорского муниципального района», рассмотрев отчет «О работе Контрольно-счетной палаты Высокогорского муниципального района за 2024 год», </w:t>
      </w:r>
      <w:r w:rsidRPr="00115486">
        <w:rPr>
          <w:rFonts w:ascii="Times New Roman" w:hAnsi="Times New Roman" w:cs="Times New Roman"/>
          <w:sz w:val="28"/>
          <w:szCs w:val="28"/>
        </w:rPr>
        <w:t>Совет Высокогорского муниципального района</w:t>
      </w:r>
    </w:p>
    <w:p w:rsidR="009612A9" w:rsidRPr="00115486" w:rsidRDefault="00207EE5" w:rsidP="00115486">
      <w:pPr>
        <w:pStyle w:val="ac"/>
        <w:spacing w:after="0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48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9612A9" w:rsidRPr="00115486" w:rsidRDefault="00207EE5" w:rsidP="00115486">
      <w:pPr>
        <w:pStyle w:val="ac"/>
        <w:numPr>
          <w:ilvl w:val="0"/>
          <w:numId w:val="2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486">
        <w:rPr>
          <w:rFonts w:ascii="Times New Roman" w:eastAsiaTheme="minorEastAsia" w:hAnsi="Times New Roman" w:cs="Times New Roman"/>
          <w:color w:val="000000"/>
          <w:sz w:val="28"/>
          <w:szCs w:val="28"/>
        </w:rPr>
        <w:t>Отчет о работе Контрольно-счетной палаты Высокогорского муниципального района за 2024 год принять к сведению (прилагается).</w:t>
      </w:r>
    </w:p>
    <w:p w:rsidR="009612A9" w:rsidRPr="00115486" w:rsidRDefault="00207EE5" w:rsidP="00115486">
      <w:pPr>
        <w:pStyle w:val="ac"/>
        <w:numPr>
          <w:ilvl w:val="0"/>
          <w:numId w:val="2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486">
        <w:rPr>
          <w:rFonts w:ascii="Times New Roman" w:eastAsiaTheme="minorEastAsia" w:hAnsi="Times New Roman" w:cs="Times New Roman"/>
          <w:color w:val="000000"/>
          <w:sz w:val="28"/>
          <w:szCs w:val="28"/>
        </w:rPr>
        <w:t>Деятельность Контрольно-счетной палаты Высокогорского муниципального района за 2024 год признать удовлетворительной.</w:t>
      </w:r>
    </w:p>
    <w:p w:rsidR="009612A9" w:rsidRPr="00115486" w:rsidRDefault="00207EE5" w:rsidP="00115486">
      <w:pPr>
        <w:pStyle w:val="ac"/>
        <w:numPr>
          <w:ilvl w:val="0"/>
          <w:numId w:val="2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палате Высокогорского муниципального района Республики Татарстан продолжить работу по осуществлению контроля за исполнением местного бюджета, соблюдением установленного порядка подготовки и рассмотрения проекта местного бюджета, отчета о его исполнении, текущих операций по исполнению бюджета, выполнению целевых муниципальных программ, контроля за соблюдением установленного порядка управления и распоряжения имуществом, находящимся в муниципальной собственности, а так же принимать участие в пределах полномочий в мероприятиях, направленных на противодействие коррупции.</w:t>
      </w:r>
    </w:p>
    <w:p w:rsidR="009612A9" w:rsidRPr="00115486" w:rsidRDefault="00207EE5" w:rsidP="00115486">
      <w:pPr>
        <w:pStyle w:val="ac"/>
        <w:numPr>
          <w:ilvl w:val="0"/>
          <w:numId w:val="2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hyperlink r:id="rId8">
        <w:r w:rsidRPr="00F703B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http://vysokaya-gora.tatarstan.ru</w:t>
        </w:r>
      </w:hyperlink>
      <w:r w:rsidRPr="00F703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12A9" w:rsidRPr="00115486" w:rsidRDefault="00207EE5" w:rsidP="00115486">
      <w:pPr>
        <w:pStyle w:val="ac"/>
        <w:numPr>
          <w:ilvl w:val="0"/>
          <w:numId w:val="2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5486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данного решения возложить на постоянную комиссию по бюджету, финансам и экономической политик</w:t>
      </w:r>
      <w:r w:rsidR="00B41C50">
        <w:rPr>
          <w:rFonts w:ascii="Times New Roman" w:hAnsi="Times New Roman" w:cs="Times New Roman"/>
          <w:sz w:val="28"/>
          <w:szCs w:val="28"/>
        </w:rPr>
        <w:t>е</w:t>
      </w:r>
      <w:r w:rsidRPr="00115486">
        <w:rPr>
          <w:rFonts w:ascii="Times New Roman" w:hAnsi="Times New Roman" w:cs="Times New Roman"/>
          <w:sz w:val="28"/>
          <w:szCs w:val="28"/>
        </w:rPr>
        <w:t xml:space="preserve"> Совета Высокогорского муниципального района.</w:t>
      </w:r>
    </w:p>
    <w:bookmarkEnd w:id="0"/>
    <w:p w:rsidR="009612A9" w:rsidRPr="00115486" w:rsidRDefault="009612A9" w:rsidP="00115486">
      <w:pPr>
        <w:pStyle w:val="ac"/>
        <w:spacing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612A9" w:rsidRPr="00115486" w:rsidRDefault="00207EE5" w:rsidP="00115486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9612A9" w:rsidRPr="00115486" w:rsidRDefault="00207EE5" w:rsidP="00115486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       Р.Ф. </w:t>
      </w:r>
      <w:proofErr w:type="spellStart"/>
      <w:r w:rsidRPr="00115486"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  <w:r w:rsidRPr="00115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2A9" w:rsidRPr="00115486" w:rsidRDefault="009612A9" w:rsidP="00115486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03BD" w:rsidRDefault="00F703BD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03BD" w:rsidRDefault="00F703BD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03BD" w:rsidRDefault="00F703BD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03BD" w:rsidRDefault="00F703BD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9612A9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03BD" w:rsidRDefault="00F703BD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A9" w:rsidRDefault="00207EE5">
      <w:pPr>
        <w:pStyle w:val="ac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Информация</w:t>
      </w:r>
    </w:p>
    <w:p w:rsidR="009612A9" w:rsidRDefault="00207EE5">
      <w:pPr>
        <w:pStyle w:val="ac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деятельности Контрольно-счетной палаты </w:t>
      </w:r>
    </w:p>
    <w:p w:rsidR="009612A9" w:rsidRDefault="00207EE5">
      <w:pPr>
        <w:pStyle w:val="ac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Высокогорского муниципального района </w:t>
      </w:r>
    </w:p>
    <w:p w:rsidR="009612A9" w:rsidRDefault="00207EE5">
      <w:pPr>
        <w:pStyle w:val="ac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2024</w:t>
      </w:r>
    </w:p>
    <w:tbl>
      <w:tblPr>
        <w:tblW w:w="10049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8400"/>
        <w:gridCol w:w="1649"/>
      </w:tblGrid>
      <w:tr w:rsidR="009612A9">
        <w:trPr>
          <w:trHeight w:val="308"/>
          <w:tblHeader/>
        </w:trPr>
        <w:tc>
          <w:tcPr>
            <w:tcW w:w="84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Контрольно-ревизионная деятельность</w:t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количество проведенных контрольных мероприятий (ед.)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Выявленный объем финансовых нарушений, всего (кол-во/тыс.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24/ 2500,0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нарушения при формировании и исполнении бюджетов (кол-во/тыс.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2/200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 1310,0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нецелевое использование бюджетных средств (кол-во/тыс.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2/190т.р.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прочие нарушения (кол-во/тыс.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11/800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Кроме этого установлено: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неэффективное использование бюджетных средств (тыс.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Экспертно-аналитическая деятельность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экспертно-аналитических мероприятий (ед.)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экспертиз проектов нормативных правовых актов (ед.)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мер и восстановлено средств в бюджет, всего (тыс.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2440,0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восстановлено в бюджет (тыс.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2050,0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Реализация полномочия по составлению протоколов</w:t>
            </w:r>
          </w:p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 административных правонарушениях в области бюджетного законодательства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протоколов (шт.)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наложенных штрафов (тыс. руб.)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Численность сотрудников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контрольно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счетной палаты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сотрудников, всего (ед.)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 штату (ед.)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12A9">
        <w:tc>
          <w:tcPr>
            <w:tcW w:w="8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207EE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 договорной основе (ед.)</w:t>
            </w:r>
          </w:p>
        </w:tc>
        <w:tc>
          <w:tcPr>
            <w:tcW w:w="1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9612A9" w:rsidRDefault="009612A9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12A9" w:rsidRDefault="009612A9" w:rsidP="00F96988">
      <w:pPr>
        <w:ind w:firstLine="85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9612A9">
      <w:headerReference w:type="first" r:id="rId9"/>
      <w:pgSz w:w="11906" w:h="16838"/>
      <w:pgMar w:top="1194" w:right="566" w:bottom="766" w:left="1701" w:header="1137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B4" w:rsidRDefault="008360B4">
      <w:pPr>
        <w:spacing w:after="0" w:line="240" w:lineRule="auto"/>
      </w:pPr>
      <w:r>
        <w:separator/>
      </w:r>
    </w:p>
  </w:endnote>
  <w:endnote w:type="continuationSeparator" w:id="0">
    <w:p w:rsidR="008360B4" w:rsidRDefault="0083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ew York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B4" w:rsidRDefault="008360B4">
      <w:pPr>
        <w:spacing w:after="0" w:line="240" w:lineRule="auto"/>
      </w:pPr>
      <w:r>
        <w:separator/>
      </w:r>
    </w:p>
  </w:footnote>
  <w:footnote w:type="continuationSeparator" w:id="0">
    <w:p w:rsidR="008360B4" w:rsidRDefault="0083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1"/>
      <w:gridCol w:w="1137"/>
      <w:gridCol w:w="4113"/>
    </w:tblGrid>
    <w:tr w:rsidR="009612A9" w:rsidTr="009612A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9612A9" w:rsidRDefault="00207EE5">
          <w:pPr>
            <w:spacing w:after="0"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 w:val="0"/>
              <w:sz w:val="28"/>
              <w:szCs w:val="28"/>
            </w:rPr>
            <w:t>СОВЕТ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9612A9" w:rsidRDefault="00207EE5">
          <w:pPr>
            <w:spacing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ru-RU"/>
            </w:rPr>
            <w:drawing>
              <wp:inline distT="0" distB="0" distL="0" distR="0">
                <wp:extent cx="720090" cy="849630"/>
                <wp:effectExtent l="0" t="0" r="0" b="0"/>
                <wp:docPr id="1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8" descr="vysokogo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2" r="-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849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9612A9" w:rsidRDefault="00207EE5">
          <w:pPr>
            <w:spacing w:after="0"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eastAsia="Calibri" w:hAnsi="Times New Roman" w:cs="Times New Roman"/>
              <w:b w:val="0"/>
              <w:sz w:val="28"/>
              <w:szCs w:val="28"/>
              <w:lang w:val="en-US"/>
            </w:rPr>
            <w:t> </w:t>
          </w:r>
          <w:r>
            <w:rPr>
              <w:rFonts w:ascii="Times New Roman" w:eastAsia="Calibri" w:hAnsi="Times New Roman" w:cs="Times New Roman"/>
              <w:b w:val="0"/>
              <w:sz w:val="28"/>
              <w:szCs w:val="28"/>
            </w:rPr>
            <w:t>РЕСПУБЛИКАСЫ БИЕКТАУ МУНИЦИПАЛЬ РАЙОН СОВЕТЫ</w:t>
          </w:r>
        </w:p>
      </w:tc>
    </w:tr>
    <w:tr w:rsidR="009612A9" w:rsidTr="009612A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9612A9" w:rsidRDefault="00207EE5">
          <w:pPr>
            <w:spacing w:before="120" w:after="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eastAsia="Calibri" w:hAnsi="Times New Roman" w:cs="Times New Roman"/>
              <w:b w:val="0"/>
              <w:sz w:val="20"/>
              <w:szCs w:val="20"/>
            </w:rPr>
            <w:br/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9612A9" w:rsidRDefault="009612A9">
          <w:pPr>
            <w:spacing w:before="120" w:after="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9612A9" w:rsidRDefault="00207EE5">
          <w:pPr>
            <w:spacing w:before="120" w:after="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>
            <w:rPr>
              <w:rFonts w:ascii="Times New Roman" w:eastAsia="Calibri" w:hAnsi="Times New Roman" w:cs="Times New Roman"/>
              <w:sz w:val="20"/>
              <w:szCs w:val="20"/>
            </w:rPr>
            <w:t>ур</w:t>
          </w:r>
          <w:proofErr w:type="spellEnd"/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, 5. Биектау т/ю 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br/>
          </w:r>
          <w:proofErr w:type="spellStart"/>
          <w:r>
            <w:rPr>
              <w:rFonts w:ascii="Times New Roman" w:eastAsia="Calibri" w:hAnsi="Times New Roman" w:cs="Times New Roman"/>
              <w:sz w:val="20"/>
              <w:szCs w:val="20"/>
            </w:rPr>
            <w:t>станциясе</w:t>
          </w:r>
          <w:proofErr w:type="spellEnd"/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sz w:val="20"/>
              <w:szCs w:val="20"/>
            </w:rPr>
            <w:t>поселогы</w:t>
          </w:r>
          <w:proofErr w:type="spellEnd"/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, Биектау районы, 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>
            <w:rPr>
              <w:rFonts w:ascii="Times New Roman" w:eastAsia="Calibri" w:hAnsi="Times New Roman" w:cs="Times New Roman"/>
              <w:sz w:val="20"/>
              <w:szCs w:val="20"/>
            </w:rPr>
            <w:t>Республикасы</w:t>
          </w:r>
          <w:proofErr w:type="spellEnd"/>
          <w:r>
            <w:rPr>
              <w:rFonts w:ascii="Times New Roman" w:eastAsia="Calibri" w:hAnsi="Times New Roman" w:cs="Times New Roman"/>
              <w:sz w:val="20"/>
              <w:szCs w:val="20"/>
            </w:rPr>
            <w:t>, 422700</w:t>
          </w:r>
        </w:p>
      </w:tc>
    </w:tr>
    <w:tr w:rsidR="009612A9" w:rsidTr="009612A9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9612A9" w:rsidRDefault="00207EE5">
          <w:pPr>
            <w:spacing w:before="120" w:after="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9612A9" w:rsidRDefault="00207EE5">
          <w:pPr>
            <w:spacing w:after="0"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9612A9" w:rsidTr="009612A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89" w:type="dxa"/>
          <w:gridSpan w:val="2"/>
          <w:shd w:val="clear" w:color="auto" w:fill="FFFFFF" w:themeFill="background1"/>
        </w:tcPr>
        <w:p w:rsidR="009612A9" w:rsidRDefault="009612A9">
          <w:pPr>
            <w:spacing w:after="0" w:line="240" w:lineRule="auto"/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9612A9" w:rsidRDefault="00207EE5">
          <w:pPr>
            <w:spacing w:after="0" w:line="240" w:lineRule="auto"/>
            <w:ind w:left="22"/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7" w:type="dxa"/>
          <w:shd w:val="clear" w:color="auto" w:fill="FFFFFF" w:themeFill="background1"/>
        </w:tcPr>
        <w:p w:rsidR="009612A9" w:rsidRDefault="009612A9">
          <w:pPr>
            <w:spacing w:after="0"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/>
            </w:rPr>
          </w:pPr>
        </w:p>
      </w:tc>
      <w:tc>
        <w:tcPr>
          <w:tcW w:w="4113" w:type="dxa"/>
          <w:shd w:val="clear" w:color="auto" w:fill="FFFFFF" w:themeFill="background1"/>
        </w:tcPr>
        <w:p w:rsidR="009612A9" w:rsidRDefault="009612A9">
          <w:pPr>
            <w:spacing w:after="0" w:line="240" w:lineRule="aut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9612A9" w:rsidRDefault="00207EE5">
          <w:pPr>
            <w:spacing w:after="0" w:line="240" w:lineRule="aut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eastAsia="Calibri" w:hAnsi="Times New Roman" w:cs="Times New Roman"/>
              <w:b/>
              <w:sz w:val="28"/>
              <w:szCs w:val="28"/>
            </w:rPr>
            <w:t>КАРАР</w:t>
          </w:r>
        </w:p>
      </w:tc>
    </w:tr>
    <w:tr w:rsidR="009612A9" w:rsidTr="009612A9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89" w:type="dxa"/>
          <w:gridSpan w:val="2"/>
        </w:tcPr>
        <w:p w:rsidR="009612A9" w:rsidRDefault="00207EE5">
          <w:pPr>
            <w:spacing w:after="0" w:line="240" w:lineRule="auto"/>
            <w:ind w:left="22"/>
            <w:jc w:val="center"/>
            <w:rPr>
              <w:b w:val="0"/>
            </w:rPr>
          </w:pPr>
          <w:r>
            <w:rPr>
              <w:rFonts w:ascii="Times New Roman" w:eastAsia="Calibri" w:hAnsi="Times New Roman" w:cs="Times New Roman"/>
              <w:b w:val="0"/>
              <w:sz w:val="28"/>
              <w:szCs w:val="28"/>
            </w:rPr>
            <w:t>_____________________________</w:t>
          </w:r>
        </w:p>
      </w:tc>
      <w:tc>
        <w:tcPr>
          <w:tcW w:w="1137" w:type="dxa"/>
        </w:tcPr>
        <w:p w:rsidR="009612A9" w:rsidRDefault="009612A9">
          <w:pPr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/>
            </w:rPr>
          </w:pPr>
        </w:p>
      </w:tc>
      <w:tc>
        <w:tcPr>
          <w:tcW w:w="4113" w:type="dxa"/>
        </w:tcPr>
        <w:p w:rsidR="009612A9" w:rsidRDefault="00207EE5">
          <w:pPr>
            <w:spacing w:after="0" w:line="240" w:lineRule="auto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>№ ______</w:t>
          </w:r>
        </w:p>
      </w:tc>
    </w:tr>
  </w:tbl>
  <w:p w:rsidR="009612A9" w:rsidRDefault="009612A9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837"/>
    <w:multiLevelType w:val="multilevel"/>
    <w:tmpl w:val="33A6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B2039A"/>
    <w:multiLevelType w:val="multilevel"/>
    <w:tmpl w:val="C192B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A9"/>
    <w:rsid w:val="00115486"/>
    <w:rsid w:val="00207EE5"/>
    <w:rsid w:val="008360B4"/>
    <w:rsid w:val="009612A9"/>
    <w:rsid w:val="00B41C50"/>
    <w:rsid w:val="00F703BD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7218"/>
  <w15:docId w15:val="{5852B9DA-BACD-440B-8821-B9A5A93C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512EF"/>
  </w:style>
  <w:style w:type="character" w:customStyle="1" w:styleId="a5">
    <w:name w:val="Нижний колонтитул Знак"/>
    <w:basedOn w:val="a0"/>
    <w:link w:val="a6"/>
    <w:uiPriority w:val="99"/>
    <w:qFormat/>
    <w:rsid w:val="00E512EF"/>
  </w:style>
  <w:style w:type="character" w:styleId="a7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qFormat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ой текст (2)"/>
    <w:basedOn w:val="a"/>
    <w:link w:val="2"/>
    <w:qFormat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62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DE37-BECF-4757-842F-346008E4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dc:description/>
  <cp:lastModifiedBy>MustakimovaEF</cp:lastModifiedBy>
  <cp:revision>6</cp:revision>
  <cp:lastPrinted>2023-12-30T07:29:00Z</cp:lastPrinted>
  <dcterms:created xsi:type="dcterms:W3CDTF">2024-02-02T12:00:00Z</dcterms:created>
  <dcterms:modified xsi:type="dcterms:W3CDTF">2024-12-24T12:40:00Z</dcterms:modified>
  <dc:language>ru-RU</dc:language>
</cp:coreProperties>
</file>