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57" w:rsidRDefault="00247990" w:rsidP="002A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 w:rsidRPr="00247990">
        <w:rPr>
          <w:rFonts w:ascii="Times New Roman" w:hAnsi="Times New Roman" w:cs="Times New Roman"/>
          <w:b/>
          <w:bCs/>
          <w:noProof/>
          <w:color w:val="333333"/>
          <w:sz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203225" wp14:editId="333070B6">
                <wp:simplePos x="0" y="0"/>
                <wp:positionH relativeFrom="column">
                  <wp:posOffset>5292090</wp:posOffset>
                </wp:positionH>
                <wp:positionV relativeFrom="paragraph">
                  <wp:posOffset>-2113280</wp:posOffset>
                </wp:positionV>
                <wp:extent cx="7620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990" w:rsidRDefault="00247990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92032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6.7pt;margin-top:-166.4pt;width:6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" filled="f" stroked="f">
                <v:textbox style="mso-fit-shape-to-text:t">
                  <w:txbxContent>
                    <w:p w:rsidR="00247990" w:rsidRDefault="00247990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F66E57">
        <w:rPr>
          <w:rFonts w:ascii="Times New Roman" w:eastAsia="Palatino Linotype" w:hAnsi="Times New Roman"/>
          <w:b/>
          <w:sz w:val="28"/>
          <w:szCs w:val="28"/>
        </w:rPr>
        <w:t>РЕШЕНИЕ</w:t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 w:rsidR="00F66E57">
        <w:rPr>
          <w:rFonts w:ascii="Times New Roman" w:eastAsia="Palatino Linotype" w:hAnsi="Times New Roman"/>
          <w:b/>
          <w:sz w:val="28"/>
          <w:szCs w:val="28"/>
        </w:rPr>
        <w:t>КАРАР</w:t>
      </w: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3A59F2" w:rsidP="00BD1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3A59F2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 внесении изменений в решение Совета Высокогорского муниципального района от 25.04.2018 № 221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BD1EEF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</w:p>
    <w:p w:rsidR="002A635C" w:rsidRPr="00934DDA" w:rsidRDefault="002A635C" w:rsidP="002A63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Default="003A59F2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A59F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 соответствии с Постановлением Кабинета Министров Республики Татарстан от 2</w:t>
      </w:r>
      <w:r w:rsidR="00CA179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</w:t>
      </w:r>
      <w:r w:rsidRPr="003A59F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.0</w:t>
      </w:r>
      <w:r w:rsidR="00CA179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9</w:t>
      </w:r>
      <w:r w:rsidRPr="003A59F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.2024 №</w:t>
      </w:r>
      <w:r w:rsidR="00CA179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820</w:t>
      </w:r>
      <w:r w:rsidRPr="003A59F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</w:t>
      </w:r>
      <w:r w:rsidR="00CA179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руда работников бюджетной сферы»</w:t>
      </w:r>
      <w:r w:rsidRPr="003A59F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934DDA" w:rsidRPr="00814CA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 Высокогорского муниципального района Республики Татарстан РЕШИЛ:</w:t>
      </w:r>
    </w:p>
    <w:p w:rsidR="0059123D" w:rsidRPr="00934DDA" w:rsidRDefault="0059123D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A59F2" w:rsidRPr="003A59F2" w:rsidRDefault="003A59F2" w:rsidP="003A59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3A59F2">
        <w:rPr>
          <w:rFonts w:ascii="Times New Roman" w:eastAsia="Calibri" w:hAnsi="Times New Roman" w:cs="Times New Roman"/>
          <w:sz w:val="28"/>
          <w:szCs w:val="28"/>
        </w:rPr>
        <w:t>Повысить с 1 июля 202</w:t>
      </w:r>
      <w:r w:rsidR="00CA179D">
        <w:rPr>
          <w:rFonts w:ascii="Times New Roman" w:eastAsia="Calibri" w:hAnsi="Times New Roman" w:cs="Times New Roman"/>
          <w:sz w:val="28"/>
          <w:szCs w:val="28"/>
        </w:rPr>
        <w:t>5</w:t>
      </w:r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 года размеры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определяемые в порядке, установленные решением Совета Высокогорского муниципального района от 25.04.2018 № 221 «Об условиях оплаты труда работников отдельных организаций бюджетной сферы, на которые не распространяется Единая тарифная сетка по</w:t>
      </w:r>
      <w:proofErr w:type="gramEnd"/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 оплате труда работников бюджетной сферы» (с изменениями, внесенными решениями Совета от 23.09.2020 №5,от 12.11.2021 №123, от 31.01.2022 №147,от 12.10.2022 №213, от 21.11.2022 г. №226</w:t>
      </w:r>
      <w:r w:rsidR="00CA179D">
        <w:rPr>
          <w:rFonts w:ascii="Times New Roman" w:eastAsia="Calibri" w:hAnsi="Times New Roman" w:cs="Times New Roman"/>
          <w:sz w:val="28"/>
          <w:szCs w:val="28"/>
        </w:rPr>
        <w:t>, от  28.06.2024 г. №419</w:t>
      </w:r>
      <w:r w:rsidRPr="003A59F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A59F2" w:rsidRPr="003A59F2" w:rsidRDefault="003A59F2" w:rsidP="003A59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3A59F2">
        <w:rPr>
          <w:rFonts w:ascii="Times New Roman" w:eastAsia="Calibri" w:hAnsi="Times New Roman" w:cs="Times New Roman"/>
          <w:sz w:val="28"/>
          <w:szCs w:val="28"/>
        </w:rPr>
        <w:t>Для исчисления размеров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в соответствии с пунктом 1 настоящего решения индексировать размер должностного оклада секретаря руководителя структурного подразделения отдельной организации бюджетной сферы в муниципальных образованиях, на которую не распространяется Единая тарифная сетка по оплате труда работников</w:t>
      </w:r>
      <w:proofErr w:type="gramEnd"/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 бюджетной сферы Высокогорского </w:t>
      </w:r>
      <w:r w:rsidRPr="003A59F2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района Республики Татарстан, в 1,05 раза и установить его в размере 13</w:t>
      </w:r>
      <w:r w:rsidR="00CA179D">
        <w:rPr>
          <w:rFonts w:ascii="Times New Roman" w:eastAsia="Calibri" w:hAnsi="Times New Roman" w:cs="Times New Roman"/>
          <w:sz w:val="28"/>
          <w:szCs w:val="28"/>
        </w:rPr>
        <w:t>990</w:t>
      </w:r>
      <w:r w:rsidRPr="003A59F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3A59F2" w:rsidRDefault="00CA179D" w:rsidP="003A59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A59F2" w:rsidRPr="003A59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Установить, что н</w:t>
      </w:r>
      <w:r w:rsidR="003A59F2" w:rsidRPr="003A59F2">
        <w:rPr>
          <w:rFonts w:ascii="Times New Roman" w:eastAsia="Calibri" w:hAnsi="Times New Roman" w:cs="Times New Roman"/>
          <w:sz w:val="28"/>
          <w:szCs w:val="28"/>
        </w:rPr>
        <w:t xml:space="preserve">астоящее решение вступает в силу с 1 </w:t>
      </w:r>
      <w:r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3A59F2" w:rsidRPr="003A59F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A59F2" w:rsidRPr="003A59F2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710486" w:rsidRPr="00710486" w:rsidRDefault="00CA179D" w:rsidP="003A59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0486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Опубликовать (обнародовать)</w:t>
      </w:r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путем размещения на </w:t>
      </w:r>
      <w:r w:rsidR="00710486" w:rsidRPr="00710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портала правовой информации Республики Татарстан: </w:t>
      </w:r>
      <w:hyperlink r:id="rId9" w:history="1">
        <w:r w:rsidR="00710486" w:rsidRPr="0071048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http://pravo.tatarstan.ru</w:t>
        </w:r>
      </w:hyperlink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Высокогорского муниципального района в сети Интернет по веб-адресу: </w:t>
      </w:r>
      <w:r w:rsidR="00710486" w:rsidRPr="007104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="00710486" w:rsidRPr="007104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vysokaya</w:t>
      </w:r>
      <w:proofErr w:type="spellEnd"/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10486" w:rsidRPr="007104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gora</w:t>
      </w:r>
      <w:proofErr w:type="spellEnd"/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710486" w:rsidRPr="007104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710486" w:rsidRPr="007104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710486" w:rsidRPr="00710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486" w:rsidRDefault="00CA179D" w:rsidP="0071048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10486" w:rsidRPr="0071048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710486" w:rsidRDefault="00710486" w:rsidP="0071048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486" w:rsidRPr="00710486" w:rsidRDefault="00710486" w:rsidP="0071048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486" w:rsidRPr="00CA179D" w:rsidRDefault="00710486" w:rsidP="00710486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79D">
        <w:rPr>
          <w:rFonts w:ascii="Times New Roman" w:eastAsia="Times New Roman" w:hAnsi="Times New Roman" w:cs="Times New Roman"/>
          <w:sz w:val="24"/>
          <w:szCs w:val="24"/>
        </w:rPr>
        <w:t>Председатель Совета,</w:t>
      </w:r>
    </w:p>
    <w:p w:rsidR="00710486" w:rsidRPr="00CA179D" w:rsidRDefault="00710486" w:rsidP="00710486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79D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CA179D" w:rsidRPr="00CA1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179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</w:t>
      </w:r>
      <w:proofErr w:type="spellStart"/>
      <w:r w:rsidRPr="00CA179D">
        <w:rPr>
          <w:rFonts w:ascii="Times New Roman" w:eastAsia="Times New Roman" w:hAnsi="Times New Roman" w:cs="Times New Roman"/>
          <w:sz w:val="24"/>
          <w:szCs w:val="24"/>
        </w:rPr>
        <w:t>Р.Ф.Хисамутдинов</w:t>
      </w:r>
      <w:proofErr w:type="spellEnd"/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512EF" w:rsidRPr="00E512EF" w:rsidRDefault="00E512EF" w:rsidP="00591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E512EF" w:rsidRPr="00E512EF" w:rsidSect="0059123D">
      <w:headerReference w:type="first" r:id="rId10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CF" w:rsidRDefault="00F177CF" w:rsidP="00E512EF">
      <w:pPr>
        <w:spacing w:after="0" w:line="240" w:lineRule="auto"/>
      </w:pPr>
      <w:r>
        <w:separator/>
      </w:r>
    </w:p>
  </w:endnote>
  <w:endnote w:type="continuationSeparator" w:id="0">
    <w:p w:rsidR="00F177CF" w:rsidRDefault="00F177CF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CF" w:rsidRDefault="00F177CF" w:rsidP="00E512EF">
      <w:pPr>
        <w:spacing w:after="0" w:line="240" w:lineRule="auto"/>
      </w:pPr>
      <w:r>
        <w:separator/>
      </w:r>
    </w:p>
  </w:footnote>
  <w:footnote w:type="continuationSeparator" w:id="0">
    <w:p w:rsidR="00F177CF" w:rsidRDefault="00F177CF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PlainTable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5" name="Рисунок 5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Биектау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Биектау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CA179D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F3"/>
    <w:rsid w:val="00042AD8"/>
    <w:rsid w:val="00073AAD"/>
    <w:rsid w:val="0008204D"/>
    <w:rsid w:val="000F0980"/>
    <w:rsid w:val="000F2406"/>
    <w:rsid w:val="00146DD0"/>
    <w:rsid w:val="001777AB"/>
    <w:rsid w:val="001B4543"/>
    <w:rsid w:val="001C1A6A"/>
    <w:rsid w:val="001D0503"/>
    <w:rsid w:val="00203B24"/>
    <w:rsid w:val="00204DDF"/>
    <w:rsid w:val="00237D19"/>
    <w:rsid w:val="00247990"/>
    <w:rsid w:val="00266AA8"/>
    <w:rsid w:val="00284DC3"/>
    <w:rsid w:val="002A4D60"/>
    <w:rsid w:val="002A635C"/>
    <w:rsid w:val="002C21AA"/>
    <w:rsid w:val="002F218D"/>
    <w:rsid w:val="003118DA"/>
    <w:rsid w:val="0031562E"/>
    <w:rsid w:val="003540A2"/>
    <w:rsid w:val="003A59F2"/>
    <w:rsid w:val="003B1748"/>
    <w:rsid w:val="003D2C03"/>
    <w:rsid w:val="003F02F4"/>
    <w:rsid w:val="003F551F"/>
    <w:rsid w:val="004340DA"/>
    <w:rsid w:val="004509BD"/>
    <w:rsid w:val="004C4049"/>
    <w:rsid w:val="004F0135"/>
    <w:rsid w:val="00524EFE"/>
    <w:rsid w:val="00550DDC"/>
    <w:rsid w:val="00587FB2"/>
    <w:rsid w:val="0059123D"/>
    <w:rsid w:val="005E20A8"/>
    <w:rsid w:val="005E2D22"/>
    <w:rsid w:val="006121EC"/>
    <w:rsid w:val="00620179"/>
    <w:rsid w:val="006229F3"/>
    <w:rsid w:val="00666B05"/>
    <w:rsid w:val="006D762A"/>
    <w:rsid w:val="00710486"/>
    <w:rsid w:val="0072331B"/>
    <w:rsid w:val="007E217B"/>
    <w:rsid w:val="00814CA5"/>
    <w:rsid w:val="00843EC9"/>
    <w:rsid w:val="0086353E"/>
    <w:rsid w:val="00892BBD"/>
    <w:rsid w:val="008A0DD8"/>
    <w:rsid w:val="008F675A"/>
    <w:rsid w:val="00915D03"/>
    <w:rsid w:val="009305AA"/>
    <w:rsid w:val="00934DDA"/>
    <w:rsid w:val="00936FAB"/>
    <w:rsid w:val="009B5F87"/>
    <w:rsid w:val="009B6EE3"/>
    <w:rsid w:val="009B748C"/>
    <w:rsid w:val="009C2714"/>
    <w:rsid w:val="009C6435"/>
    <w:rsid w:val="00A26374"/>
    <w:rsid w:val="00A30A45"/>
    <w:rsid w:val="00A44068"/>
    <w:rsid w:val="00AA3BE5"/>
    <w:rsid w:val="00AA7729"/>
    <w:rsid w:val="00AB4A78"/>
    <w:rsid w:val="00AC4978"/>
    <w:rsid w:val="00AD340C"/>
    <w:rsid w:val="00B0483D"/>
    <w:rsid w:val="00B26D10"/>
    <w:rsid w:val="00B35F51"/>
    <w:rsid w:val="00B76C00"/>
    <w:rsid w:val="00B80196"/>
    <w:rsid w:val="00B82A1F"/>
    <w:rsid w:val="00BC5CD2"/>
    <w:rsid w:val="00BD1EEF"/>
    <w:rsid w:val="00BF0851"/>
    <w:rsid w:val="00C36075"/>
    <w:rsid w:val="00C93AA5"/>
    <w:rsid w:val="00CA179D"/>
    <w:rsid w:val="00CB1FF4"/>
    <w:rsid w:val="00CC26B4"/>
    <w:rsid w:val="00D123A4"/>
    <w:rsid w:val="00D369B3"/>
    <w:rsid w:val="00D6468C"/>
    <w:rsid w:val="00DA118C"/>
    <w:rsid w:val="00DA453A"/>
    <w:rsid w:val="00DC67F2"/>
    <w:rsid w:val="00DF44A4"/>
    <w:rsid w:val="00E4460A"/>
    <w:rsid w:val="00E512EF"/>
    <w:rsid w:val="00E5382F"/>
    <w:rsid w:val="00E978F6"/>
    <w:rsid w:val="00F177CF"/>
    <w:rsid w:val="00F60818"/>
    <w:rsid w:val="00F61FB2"/>
    <w:rsid w:val="00F66E57"/>
    <w:rsid w:val="00F73EA0"/>
    <w:rsid w:val="00F7622D"/>
    <w:rsid w:val="00FB13B9"/>
    <w:rsid w:val="00FC794E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CF90B-389D-42F4-B8C2-D0621C1F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SlashSysAdmPC</dc:creator>
  <cp:lastModifiedBy>vgor-ruk-fo</cp:lastModifiedBy>
  <cp:revision>3</cp:revision>
  <cp:lastPrinted>2024-04-25T05:17:00Z</cp:lastPrinted>
  <dcterms:created xsi:type="dcterms:W3CDTF">2024-11-27T12:22:00Z</dcterms:created>
  <dcterms:modified xsi:type="dcterms:W3CDTF">2024-11-27T12:27:00Z</dcterms:modified>
</cp:coreProperties>
</file>