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247990" w:rsidP="002A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 w:rsidRPr="00247990">
        <w:rPr>
          <w:rFonts w:ascii="Times New Roman" w:hAnsi="Times New Roman" w:cs="Times New Roman"/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/>
                          <w:p w:rsidR="00C5056A" w:rsidRDefault="00C505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/>
                    <w:p w:rsidR="00C5056A" w:rsidRDefault="00C5056A"/>
                  </w:txbxContent>
                </v:textbox>
              </v:shape>
            </w:pict>
          </mc:Fallback>
        </mc:AlternateConten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934DDA" w:rsidRDefault="00C5056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  <w:t xml:space="preserve">     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2A635C" w:rsidRDefault="00B471BC" w:rsidP="003E1C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B471B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Об утверждении Положения о награжден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ии памятной юбилейной медалью «9</w:t>
      </w:r>
      <w:r w:rsidRPr="00B471B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0 лет 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Высокогорскому</w:t>
      </w:r>
      <w:r w:rsidRPr="00B471B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району Республики Татарстан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»</w:t>
      </w:r>
      <w:r w:rsidR="006C642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</w:p>
    <w:p w:rsidR="00B471BC" w:rsidRPr="00934DDA" w:rsidRDefault="00B471BC" w:rsidP="003E1C00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Default="00B471BC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 соответствии с Федеральным законом от 06.10.2003 N 131-ФЗ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Законом Республики Татарстан от 28.07.2004 N 45-ЗРТ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местном самоуп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равлении в Республике Татарстан»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Уставом муни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ципального образования «Высокогорский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муниципальный район Республики Татарстан», и в целях поощрения граждан за особые заслуги и большой личный вклад в социально-экономическое, научное и культурное развитие, в связи с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90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-летием образования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ого района Республики Татарстан,  </w:t>
      </w:r>
      <w:r w:rsidR="00934DDA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 РЕШИЛ:</w:t>
      </w:r>
    </w:p>
    <w:p w:rsidR="0059123D" w:rsidRPr="00934DDA" w:rsidRDefault="0059123D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E1C00" w:rsidRDefault="003E1C00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Утвердить прилагаемое </w:t>
      </w:r>
      <w:r w:rsidR="00B471BC"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Положение о награждении памятной юбилейной медалью </w:t>
      </w:r>
      <w:r w:rsid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«9</w:t>
      </w:r>
      <w:r w:rsidR="00B471BC"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0 лет </w:t>
      </w:r>
      <w:r w:rsid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Высокогорскому</w:t>
      </w:r>
      <w:r w:rsidR="00B471BC"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району Республики Татарстан»</w:t>
      </w:r>
      <w:r w:rsidRP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B471BC" w:rsidRPr="003E1C00" w:rsidRDefault="00B471BC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2. 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Состав комиссии по предварительному рассмотрению документов о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награждении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юбилейной медалью «90 лет Высокогорскому району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утвердить постановлением главы Высокогорского муниципального района.</w:t>
      </w:r>
    </w:p>
    <w:p w:rsidR="00B80196" w:rsidRDefault="00B471BC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</w:t>
      </w:r>
      <w:r w:rsidR="003E1C00" w:rsidRP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Исполнительному комитету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муниципального района Республики Татарстан определить в бюджете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B471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муниципального района Республики Татарстан источник финансирования для изготовления медалей и удостоверений к медали.</w:t>
      </w:r>
    </w:p>
    <w:p w:rsidR="00934DDA" w:rsidRDefault="00B471BC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бнародовать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http://pravo.tatarstan.ru/ и разместить на официальном сайте Высокогорского муниципального района в информационно-телекоммуникационной сети Интернет по веб-адресу: </w:t>
      </w:r>
      <w:hyperlink r:id="rId7" w:history="1">
        <w:r w:rsidRPr="00E24989">
          <w:rPr>
            <w:rStyle w:val="a8"/>
            <w:rFonts w:ascii="Times New Roman" w:hAnsi="Times New Roman" w:cs="Times New Roman"/>
            <w:sz w:val="28"/>
            <w:shd w:val="clear" w:color="auto" w:fill="FFFFFF"/>
          </w:rPr>
          <w:t>http://vysokaya-gora.tatarstan.ru/</w:t>
        </w:r>
      </w:hyperlink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B471BC" w:rsidRPr="00306F63" w:rsidRDefault="00B471BC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 xml:space="preserve">5. </w:t>
      </w:r>
      <w:r w:rsidRPr="00306F6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Настоящее решение вступает в силу с 1 января 2025 года. </w:t>
      </w:r>
    </w:p>
    <w:p w:rsidR="00B471BC" w:rsidRPr="00934DDA" w:rsidRDefault="00B471BC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06F6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6. Контроль за исполнением настоящего решения возложить на постоянную</w:t>
      </w:r>
      <w:r w:rsidR="00DF6D1B" w:rsidRPr="00306F6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306F6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комиссию </w:t>
      </w:r>
      <w:r w:rsidR="00306F63" w:rsidRPr="00306F6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Совета района по социальной политике, здравоохранению, образованию, культуре, спорту и молодежной политике</w:t>
      </w:r>
    </w:p>
    <w:p w:rsidR="00934DDA" w:rsidRDefault="00934DDA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59123D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3E1C0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P0010"/>
      <w:bookmarkEnd w:id="0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Pr="00934DDA" w:rsidRDefault="00934DDA" w:rsidP="003E1C0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p w:rsidR="00934DDA" w:rsidRDefault="00934DDA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06F63" w:rsidRDefault="00306F63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06F63" w:rsidRDefault="00306F63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Pr="00FA2602" w:rsidRDefault="00FA2602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FA260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Приложение</w:t>
      </w:r>
    </w:p>
    <w:p w:rsidR="0020044E" w:rsidRDefault="0020044E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   </w:t>
      </w:r>
      <w:r w:rsidR="00FA2602" w:rsidRPr="00FA260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к решению Совета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</w:p>
    <w:p w:rsidR="00FA2602" w:rsidRPr="00FA2602" w:rsidRDefault="0020044E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A2602" w:rsidRPr="00FA260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муниципального района</w:t>
      </w:r>
    </w:p>
    <w:p w:rsidR="00FA2602" w:rsidRDefault="00FA2602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от ____________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</w:t>
      </w:r>
      <w:r w:rsidRPr="00FA260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2024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г. N ___</w:t>
      </w:r>
    </w:p>
    <w:p w:rsidR="00252B78" w:rsidRDefault="00252B78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FA260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252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Положение о награждении памятной юбилейной медалью </w:t>
      </w:r>
    </w:p>
    <w:p w:rsidR="00252B78" w:rsidRPr="00252B78" w:rsidRDefault="00252B78" w:rsidP="00252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«90 лет Высокогорскому району Республики Татарстан»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252B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 Общ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е положени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я</w:t>
      </w:r>
    </w:p>
    <w:p w:rsidR="00252B78" w:rsidRPr="00252B78" w:rsidRDefault="00252B78" w:rsidP="00252B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1.1. Настоящее положение о награждении памятной юбилейной медалью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90 лет Высокогорскому району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(далее - Положение) разработано в целях поощрения граждан за особые заслуги и большой личный вклад в социально-экономическое, научное и культурное развитие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муниципального района Республики Татарстан.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1.2. Памятная юбилейная медаль 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«90 лет Высокогорскому району Республики Татарстан»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(далее - медаль) представляет собой памятный знак и является муниципальной наградой в ознаменование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0-летия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муниципального района Республики Татарстан (далее - район).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252B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2. Награждение медалью</w:t>
      </w:r>
    </w:p>
    <w:p w:rsidR="00252B78" w:rsidRPr="00252B78" w:rsidRDefault="00252B78" w:rsidP="00252B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2.1. Награждение медалью является единовременной акцией, которая приурочена к празднованию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0-летия района.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2.2. Решение о награждении медалью граждан принимается Главой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муниципального района Республики Татарстан (далее - глава района) на основании заключений, подготовленных комиссией по награждению медалью, и производится согласно постановлению главы района.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2.3. Награждаемому вручаются медаль и удостоверение к медали (далее - удостоверение), которые материальным поощрением не сопровождаются.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2.4. Вручение медали производится главой района в торжественной обстановке на праздничном мероприятии, посвященном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0-летию района или на иных торжественных мероприятиях в обстановке гласности.</w:t>
      </w:r>
    </w:p>
    <w:p w:rsidR="00252B78" w:rsidRPr="00252B78" w:rsidRDefault="00252B78" w:rsidP="00252B7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2.5. Медалью награждаются: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работающие на территории района граждане, в том числе должностные лица, депутаты органов местного самоуправления, рабочие, служащие, инженерно-технические работники, занятые во всех отраслях производства, а также работники социально-культурной сферы района имеющие особые заслуги, и выдающиеся результаты в профессиональной сфере, подтвержденные наградами и различными видами поощрений федерального, республиканского и муниципального уровней;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</w:t>
      </w:r>
      <w:r w:rsid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жители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района, внесшие значительный вклад в строительство объектов районной инфраструктуры, производство, развитие обслуживающих отраслей, 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становление и развитие органов местного самоуправления, обеспечение в районе законности и правопорядка, развитие культуры и искусства, спорта, воспитание, образование, охрану здоровья, благотворительную деятельность, иные сферы общественно-полезной деятельности;</w:t>
      </w:r>
    </w:p>
    <w:p w:rsid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</w:t>
      </w: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члены Общественного Совета </w:t>
      </w:r>
      <w:r w:rsidR="00716195"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муниципального района Республики Татарстан (далее - Общественный Совет) и иные граждане, имеющие особые заслуги и выдающиеся результаты, а также особый авторитет в районе, обретенный длительной общественной, культурной, научной, политической, хозяйственной, благотворительной и иной деятельностью, тем самым внесшие значительный вклад</w:t>
      </w:r>
      <w:r w:rsidR="006C64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 развитие района и республики;</w:t>
      </w:r>
    </w:p>
    <w:p w:rsidR="006C6426" w:rsidRPr="00252B78" w:rsidRDefault="006C6426" w:rsidP="006C64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граждане, совершившие мужественные и героические</w:t>
      </w:r>
      <w:r w:rsidRPr="006C64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поступк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</w:t>
      </w:r>
      <w:r w:rsidRPr="006C64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при исполнении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C64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служебного и (или) гражданского долга во благо Высокогорского района, Республики Татарстан 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2.6. В случае утраты (повреждения, порчи) медаль</w:t>
      </w:r>
      <w:r w:rsidR="00657BD8"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 удостоверение</w:t>
      </w: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повторно не выда</w:t>
      </w:r>
      <w:r w:rsidR="00657BD8"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ю</w:t>
      </w: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тся</w:t>
      </w:r>
      <w:r w:rsidR="00657BD8"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3. Порядок выдвижения кандидатур для награждения медалью</w:t>
      </w:r>
    </w:p>
    <w:p w:rsidR="00716195" w:rsidRPr="00252B78" w:rsidRDefault="00716195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3.1. Предложения для награждения медалью граждан вносятся на основании </w:t>
      </w: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письменного ходатайства, представленного коллективами предприятий, организаций, учреждений, хозяйств всех форм собственности, органами местного самоуправления района или общественными организациями, за подписью и печатью руководителя в порядке делопроизводства, установленном в </w:t>
      </w:r>
      <w:r w:rsidR="00716195"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районе</w:t>
      </w: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3.2. Ходатайства о награждении медалью также могут вносить вышестоящие органы предприятий, организаций, учреждений, хозяйств всех форм собственности в порядке подчиненности.</w:t>
      </w:r>
    </w:p>
    <w:p w:rsid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3.3. Ходатайство о награждении медалью лиц, согласно критерий, указанных в пункте 2.5. настоящего Положения, направляется на имя главы района не позднее </w:t>
      </w: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 (семи) дней до дня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вручения. К ходатайству прикладывается Представление к награждению памятной юбилейной медалью </w:t>
      </w:r>
      <w:r w:rsid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90 лет Высокогорскому району Республики Татарстан</w:t>
      </w:r>
      <w:r w:rsid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согласно утвержденной форме, прилагаемой к настоящему Положению).</w:t>
      </w:r>
      <w:r w:rsidR="006C64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:rsidR="006C6426" w:rsidRPr="00015B05" w:rsidRDefault="006C6426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3.4. К представлению прилагаются:</w:t>
      </w:r>
    </w:p>
    <w:p w:rsidR="006C6426" w:rsidRPr="00015B05" w:rsidRDefault="006C6426" w:rsidP="006C64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протокол собрания общественной организации или граждан, на котором</w:t>
      </w: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рассматривалась кандидатура представляемого;</w:t>
      </w:r>
    </w:p>
    <w:p w:rsidR="006C6426" w:rsidRPr="00252B78" w:rsidRDefault="006C6426" w:rsidP="006C64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документы либо заверенные копии документов, подтверждающие</w:t>
      </w: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достижения и заслуги выдвигаемой кандидатуры.</w:t>
      </w:r>
    </w:p>
    <w:p w:rsidR="00252B78" w:rsidRPr="00252B78" w:rsidRDefault="006C6426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3.5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Ходатайство о награждении регистрируется в порядке делопроизводства, установленном в район</w:t>
      </w:r>
      <w:r w:rsid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е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C6426">
        <w:rPr>
          <w:rFonts w:ascii="Times New Roman" w:hAnsi="Times New Roman" w:cs="Times New Roman"/>
          <w:sz w:val="28"/>
          <w:szCs w:val="28"/>
        </w:rPr>
        <w:t>В случае если документы предоставлены не полностью или неправильно</w:t>
      </w:r>
      <w:r w:rsidRPr="006C6426">
        <w:rPr>
          <w:rFonts w:ascii="Times New Roman" w:hAnsi="Times New Roman" w:cs="Times New Roman"/>
          <w:sz w:val="28"/>
          <w:szCs w:val="28"/>
        </w:rPr>
        <w:t xml:space="preserve"> </w:t>
      </w:r>
      <w:r w:rsidRPr="006C6426">
        <w:rPr>
          <w:rFonts w:ascii="Times New Roman" w:hAnsi="Times New Roman" w:cs="Times New Roman"/>
          <w:sz w:val="28"/>
          <w:szCs w:val="28"/>
        </w:rPr>
        <w:t>оформлены, то они подлежат возврату с предложением приведения их в соответствие с установленными требованиями</w:t>
      </w:r>
      <w:r w:rsidRPr="006C6426">
        <w:rPr>
          <w:rFonts w:ascii="Times New Roman" w:hAnsi="Times New Roman" w:cs="Times New Roman"/>
          <w:sz w:val="28"/>
          <w:szCs w:val="28"/>
        </w:rPr>
        <w:t>.</w:t>
      </w:r>
    </w:p>
    <w:p w:rsidR="00252B78" w:rsidRPr="00252B78" w:rsidRDefault="006C6426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3.6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Самовыдвижение кандидатов на награждение не допускается.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4. Порядок рассмотрения кандидатур для награждения медалью</w:t>
      </w:r>
    </w:p>
    <w:p w:rsidR="00716195" w:rsidRPr="00252B78" w:rsidRDefault="00716195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4.1. Для рассмотрения ходатайств и оценки деятельности кандидатов на награждение отдельным постановлением главы района создается комиссия по награждению медалью. </w:t>
      </w:r>
      <w:r w:rsidR="007A66FF"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ее состав входят председатель, заместитель, секретарь, члены Комиссии.</w:t>
      </w:r>
    </w:p>
    <w:p w:rsidR="007A66FF" w:rsidRDefault="007A66FF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4.2. 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Председатель, а в его отсутствие заместитель председателя Комиссии осуществляет общее руководство деятельностью Комиссии (ведет заседания Комиссии, организует работу Комиссии и т.д.). Заместитель председателя Комиссии замещает председателя Комиссии в его отсутствие. 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4.3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Комиссия осуществляет следующие функции: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проводит оценку документов, представленных для награждения медалью;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представляет Главе 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района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заключение о возможности награждения либо об отказе в награждении;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рассматривает предложения, заявления и жалобы граждан по вопросу </w:t>
      </w:r>
      <w:proofErr w:type="gramStart"/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награждения  медалью</w:t>
      </w:r>
      <w:proofErr w:type="gramEnd"/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рассматривает вопросы организации своей деятельности.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4.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 w:rsidRPr="0061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Поступившее предложение к награждению медалью передается на рассмотрение в комиссию по награждению по предварительному рассмотрению предложений.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Заседание Комиссии проводится по мере необходимости и считается правомочным, если на нем присутствует более половины ее членов.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highlight w:val="green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4.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5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Рекомендации Комиссии принимаются квалифицированным большинством в две трети голосов членов Комиссии, присутствующих на заседании, путем открытого голосования. </w:t>
      </w:r>
    </w:p>
    <w:p w:rsidR="007A66FF" w:rsidRPr="007A66FF" w:rsidRDefault="007A66FF" w:rsidP="007A6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4.6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Комиссия может привлекать для участия в заседаниях с правом совещательного голоса должностных лиц 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муниципального образования района</w:t>
      </w:r>
      <w:r w:rsidRP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представителей органов государственной власти, представителей органов местного самоуправления, трудовых коллективов, общественных организаций и объединений.</w:t>
      </w:r>
    </w:p>
    <w:p w:rsidR="00612BF6" w:rsidRPr="00612BF6" w:rsidRDefault="00612BF6" w:rsidP="00612B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4.</w:t>
      </w:r>
      <w:r w:rsidR="007A66F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Основанием для отказа в награждении медалью является:</w:t>
      </w:r>
    </w:p>
    <w:p w:rsidR="00612BF6" w:rsidRPr="00612BF6" w:rsidRDefault="00612BF6" w:rsidP="00612B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несоответствие условиям</w:t>
      </w: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пунктов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2.5</w:t>
      </w: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настоящего Положения;</w:t>
      </w:r>
    </w:p>
    <w:p w:rsidR="00612BF6" w:rsidRPr="00612BF6" w:rsidRDefault="00612BF6" w:rsidP="00612B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непредставление или п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редставление не в полном объеме документов указанных в разделе 3 </w:t>
      </w: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настоящего Положения.</w:t>
      </w:r>
    </w:p>
    <w:p w:rsidR="00612BF6" w:rsidRDefault="00612BF6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 случае принятия решения об отказе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награждении юбилейной медалью и</w:t>
      </w:r>
      <w:r w:rsidRPr="00612BF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нициатору направля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ется мотивированный отказ. 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4.</w:t>
      </w:r>
      <w:r w:rsidR="00FA4D7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По итогам рассмотрения ходатайств и оценки деятельности кандидатов на награждение медалью членами комиссии готовятся заключения по каждой кандидатуре. По результатам положительных заключений формируется список лиц для награждения медалью, который утверждается постановлением главы района.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5. Порядок лишения гражданина медали</w:t>
      </w:r>
    </w:p>
    <w:p w:rsidR="00716195" w:rsidRPr="00252B78" w:rsidRDefault="00716195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5.1. Гражданин, удостоенный медали, лишается ее в случае осуждения по решению суда</w:t>
      </w:r>
      <w:r w:rsid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вступившего в законную силу</w:t>
      </w:r>
      <w:r w:rsid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за совершенное преступление.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5.2. Лишение гражданина медали производится также в случаях представления подложных документов для награждения медалью.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5.3. Факты, указанных в пунктах 5.1. и 5.2. рассматриваются комиссией по награждению медалью, по результатам рассмотрения ею готовится заключение и передается главе района для принятия решения.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5.4. Лишение медали производится постановление главы района.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6. Описание медали</w:t>
      </w:r>
    </w:p>
    <w:p w:rsidR="00716195" w:rsidRPr="00252B78" w:rsidRDefault="00716195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716195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6.1. Медаль - двусторонняя, имеет форму правильного круга диаметром </w:t>
      </w:r>
      <w:r w:rsidR="00953E3D"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</w:t>
      </w:r>
      <w:r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0 мм</w:t>
      </w:r>
      <w:r w:rsidR="00953E3D"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состоит из стали</w:t>
      </w:r>
      <w:r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252B78" w:rsidRPr="00716195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6.2. На лицевой стороне медали в центре - изображение официального герба 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Высокогорского </w:t>
      </w:r>
      <w:r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муниципального района Республики Татарстан. 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центре нижней части 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медали - изображение с надписью «9</w:t>
      </w:r>
      <w:r w:rsid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0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в верхней 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части по окружности - надпись: «Высокогорский</w:t>
      </w:r>
      <w:r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район </w:t>
      </w:r>
      <w:r w:rsid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– Биектау районы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», 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 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нижней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части по окружности - надпис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: «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1935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="00716195"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 «2025»</w:t>
      </w:r>
      <w:r w:rsidRPr="0071619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252B78" w:rsidRPr="00D85449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6.3. На оборотной стороне медали - контурное изображение карты </w:t>
      </w:r>
      <w:r w:rsidR="00D85449"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D854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муниципального района Республики Татарстан.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6.4. Медаль помещена в </w:t>
      </w:r>
      <w:r w:rsidR="00953E3D"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</w:t>
      </w:r>
      <w:r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утляр.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" w:name="_GoBack"/>
      <w:bookmarkEnd w:id="1"/>
    </w:p>
    <w:p w:rsidR="00252B78" w:rsidRDefault="00252B78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7. Описание удостоверения</w:t>
      </w:r>
    </w:p>
    <w:p w:rsidR="00F41707" w:rsidRPr="00252B78" w:rsidRDefault="00F41707" w:rsidP="007161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7.1 Удостоверение представляет собой двухстраничную книжку из плотной бумаги.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7.2. Размер бланка удостоверения в развернутом виде - </w:t>
      </w:r>
      <w:r w:rsidR="00953E3D"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75</w:t>
      </w:r>
      <w:r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х10</w:t>
      </w:r>
      <w:r w:rsidR="00953E3D"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0</w:t>
      </w:r>
      <w:r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мм</w:t>
      </w:r>
      <w:r w:rsidR="00953E3D" w:rsidRPr="00953E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7.3. В центре верхней части передней обложки расположен</w:t>
      </w:r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надпись: «Удостоверение к медали «90 лет Высокогорскому району Республики Татарстан»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Задняя часть обложки - пустая.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7.4. На </w:t>
      </w:r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правой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стороне внутреннего разворота у</w:t>
      </w:r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достоверения по центру размещена надпись: «Удостоверение № ____</w:t>
      </w:r>
      <w:proofErr w:type="gramStart"/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  Постановлением</w:t>
      </w:r>
      <w:proofErr w:type="gramEnd"/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Главы Высокогорского муниципального района Республики Татарстан от «_____» 20___ года № __ награжден медалью «</w:t>
      </w:r>
      <w:r w:rsidR="00F41707" w:rsidRP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90 лет В</w:t>
      </w:r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ысокогорскому </w:t>
      </w:r>
      <w:r w:rsidR="00F41707" w:rsidRP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району Республики </w:t>
      </w:r>
      <w:r w:rsidR="00F41707"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Татарстан»</w:t>
      </w:r>
      <w:r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  <w:r w:rsidR="00F41707"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Ниже место для </w:t>
      </w:r>
      <w:r w:rsidR="00F41707"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подписи</w:t>
      </w:r>
      <w:r w:rsidR="00F41707"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главы</w:t>
      </w:r>
      <w:r w:rsidR="00F41707"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Подпись скрепляется печатью Совета района.</w:t>
      </w:r>
    </w:p>
    <w:p w:rsidR="00252B78" w:rsidRPr="00252B78" w:rsidRDefault="00F41707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7.5. На левой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стороне внутреннего разворота удостоверения 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расположена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та же 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надпись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указанная в п. 7.4, на татарском языке. 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F4170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8. Заключительные положения</w:t>
      </w:r>
    </w:p>
    <w:p w:rsidR="00F41707" w:rsidRPr="00252B78" w:rsidRDefault="00F41707" w:rsidP="00F4170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8.1. Финансирование изготовления медалей и удостоверений к ним осуществляется за счет бюджетных денежных средств района.</w:t>
      </w:r>
    </w:p>
    <w:p w:rsidR="00252B78" w:rsidRPr="00927A03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8.2. Заказ, изготовление медалей и удостоверений осуществляет Исполнительный комитет </w:t>
      </w:r>
      <w:r w:rsidR="00F417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Высокогорского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муниципального района Республики Татарстан (далее - </w:t>
      </w:r>
      <w:r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Исполком района).</w:t>
      </w:r>
    </w:p>
    <w:p w:rsid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 xml:space="preserve">8.3. Учет и хранение медалей и удостоверений, регистрацию награжденных, оформление и ведение наградной документации осуществляет начальник </w:t>
      </w:r>
      <w:r w:rsidR="00811362"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отдела кадров Совета района</w:t>
      </w:r>
      <w:r w:rsidRPr="00927A0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252B78" w:rsidRPr="00252B7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8.4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Медаль подлежит обязательному указанию в наградном листе установленного образца при представлении удостоенного лица к очередным наградам российского и республиканского уровня.</w:t>
      </w:r>
    </w:p>
    <w:p w:rsidR="00252B78" w:rsidRPr="00252B7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8.5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Документация по награде хранится в течение пяти лет, после чего передается в архив района.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811362" w:rsidRDefault="00811362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811362" w:rsidRDefault="00811362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015B05" w:rsidRDefault="00015B05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015B05" w:rsidRDefault="00015B05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015B05" w:rsidRDefault="00015B05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015B05" w:rsidRDefault="00015B05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015B05" w:rsidRDefault="00015B05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657BD8" w:rsidRDefault="00657BD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27A03" w:rsidRDefault="00927A03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27A03" w:rsidRDefault="00927A03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27A03" w:rsidRDefault="00927A03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27A03" w:rsidRDefault="00927A03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27A03" w:rsidRDefault="00927A03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27A03" w:rsidRDefault="00927A03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Приложение</w:t>
      </w:r>
    </w:p>
    <w:p w:rsidR="00DF6D1B" w:rsidRPr="00DF6D1B" w:rsidRDefault="00252B78" w:rsidP="00DF6D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к </w:t>
      </w:r>
      <w:r w:rsidR="00DF6D1B" w:rsidRP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Положени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ю</w:t>
      </w:r>
      <w:r w:rsidR="00DF6D1B" w:rsidRP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 награждении памятной юбилейной медалью </w:t>
      </w:r>
    </w:p>
    <w:p w:rsidR="00252B78" w:rsidRPr="00252B78" w:rsidRDefault="00DF6D1B" w:rsidP="00DF6D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«90 лет Высокогорскому району Республики Татарстан»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утвержденному решением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Совета Высокогорского муниципального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района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Республики</w:t>
      </w:r>
      <w:proofErr w:type="gramEnd"/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Татарстан</w:t>
      </w:r>
    </w:p>
    <w:p w:rsidR="00252B78" w:rsidRPr="00252B78" w:rsidRDefault="00DF6D1B" w:rsidP="00DF6D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от «___»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 202_ г. N ___</w:t>
      </w:r>
    </w:p>
    <w:p w:rsidR="00252B78" w:rsidRPr="00252B78" w:rsidRDefault="00252B78" w:rsidP="00252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DF6D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Представление к награждению памятной юбилейной медалью 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="00DF6D1B" w:rsidRP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90 лет Высокогорскому району Республики Татарстан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</w:p>
    <w:p w:rsidR="00DF6D1B" w:rsidRPr="00252B78" w:rsidRDefault="00DF6D1B" w:rsidP="00DF6D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Ф.И.О.______________________________________________________________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Число, месяц, год рождения ___________________________________________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Место рождения _____________________________________________________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Образование, наименование учебного заведения, год окончания 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________________________________________________________________________________________________________________________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Специальность по образованию 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Занимая должность и место работы 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Ученая степень, звание _______________________________________________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Общий стаж работы __________________________________________________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Стаж работы на данном предприятии 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Другие виды поощрений, наград, дата: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РФ _______________________________________________________________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РТ ________________________________________________________________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районные награды __________________________________________________</w:t>
      </w:r>
    </w:p>
    <w:p w:rsidR="00DF6D1B" w:rsidRPr="00252B78" w:rsidRDefault="00015B05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Х</w:t>
      </w:r>
      <w:r w:rsidRPr="00015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арактеристика с места работы или учебы с указанием заслуг перед районом 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</w:t>
      </w:r>
      <w:r w:rsidR="00252B78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________________________________________________________________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</w:t>
      </w:r>
      <w:r w:rsidR="00DF6D1B"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</w:t>
      </w:r>
    </w:p>
    <w:p w:rsidR="00DF6D1B" w:rsidRPr="00252B78" w:rsidRDefault="00DF6D1B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Указание конкретных достижений в отрасли</w:t>
      </w:r>
    </w:p>
    <w:p w:rsidR="00252B78" w:rsidRPr="00252B78" w:rsidRDefault="00DF6D1B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</w:t>
      </w:r>
    </w:p>
    <w:p w:rsidR="00252B78" w:rsidRDefault="00DF6D1B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</w:t>
      </w:r>
    </w:p>
    <w:p w:rsidR="00DF6D1B" w:rsidRPr="00252B78" w:rsidRDefault="00DF6D1B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Руководи</w:t>
      </w:r>
      <w:r w:rsidR="00DF6D1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тель ___________________________</w:t>
      </w: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_____________________________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Подпись Ф.И.О. руководителя 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М.П.</w:t>
      </w: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P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52B78" w:rsidRDefault="00252B78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52B7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</w:t>
      </w:r>
    </w:p>
    <w:p w:rsidR="00FA2602" w:rsidRDefault="00FA2602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Default="00FA2602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FA2602" w:rsidRPr="00934DDA" w:rsidRDefault="00FA2602" w:rsidP="00DF6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512EF" w:rsidRPr="00E512EF" w:rsidRDefault="00E512EF" w:rsidP="00DF6D1B">
      <w:pPr>
        <w:spacing w:after="0"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306F63">
      <w:headerReference w:type="first" r:id="rId8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5E" w:rsidRDefault="0038775E" w:rsidP="00E512EF">
      <w:pPr>
        <w:spacing w:after="0" w:line="240" w:lineRule="auto"/>
      </w:pPr>
      <w:r>
        <w:separator/>
      </w:r>
    </w:p>
  </w:endnote>
  <w:endnote w:type="continuationSeparator" w:id="0">
    <w:p w:rsidR="0038775E" w:rsidRDefault="0038775E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5E" w:rsidRDefault="0038775E" w:rsidP="00E512EF">
      <w:pPr>
        <w:spacing w:after="0" w:line="240" w:lineRule="auto"/>
      </w:pPr>
      <w:r>
        <w:separator/>
      </w:r>
    </w:p>
  </w:footnote>
  <w:footnote w:type="continuationSeparator" w:id="0">
    <w:p w:rsidR="0038775E" w:rsidRDefault="0038775E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B471BC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5B05"/>
    <w:rsid w:val="00042AD8"/>
    <w:rsid w:val="00073AAD"/>
    <w:rsid w:val="0008204D"/>
    <w:rsid w:val="000F0980"/>
    <w:rsid w:val="000F2406"/>
    <w:rsid w:val="001D0503"/>
    <w:rsid w:val="0020044E"/>
    <w:rsid w:val="00203B24"/>
    <w:rsid w:val="00237D19"/>
    <w:rsid w:val="00247990"/>
    <w:rsid w:val="00252B78"/>
    <w:rsid w:val="00266AA8"/>
    <w:rsid w:val="00284DC3"/>
    <w:rsid w:val="002A635C"/>
    <w:rsid w:val="002C21AA"/>
    <w:rsid w:val="00306F63"/>
    <w:rsid w:val="003118DA"/>
    <w:rsid w:val="0031562E"/>
    <w:rsid w:val="0033192F"/>
    <w:rsid w:val="003540A2"/>
    <w:rsid w:val="0038775E"/>
    <w:rsid w:val="003D2C03"/>
    <w:rsid w:val="003E1C00"/>
    <w:rsid w:val="003F02F4"/>
    <w:rsid w:val="004509BD"/>
    <w:rsid w:val="004C4049"/>
    <w:rsid w:val="004F0135"/>
    <w:rsid w:val="00524EFE"/>
    <w:rsid w:val="00550DDC"/>
    <w:rsid w:val="0059123D"/>
    <w:rsid w:val="005E20A8"/>
    <w:rsid w:val="005E2D22"/>
    <w:rsid w:val="006121EC"/>
    <w:rsid w:val="00612BF6"/>
    <w:rsid w:val="00620179"/>
    <w:rsid w:val="006229F3"/>
    <w:rsid w:val="00657BD8"/>
    <w:rsid w:val="006C6426"/>
    <w:rsid w:val="006D762A"/>
    <w:rsid w:val="006F620C"/>
    <w:rsid w:val="00701776"/>
    <w:rsid w:val="00716195"/>
    <w:rsid w:val="0072331B"/>
    <w:rsid w:val="007A66FF"/>
    <w:rsid w:val="007B3AD3"/>
    <w:rsid w:val="007E217B"/>
    <w:rsid w:val="00811362"/>
    <w:rsid w:val="00843EC9"/>
    <w:rsid w:val="0086353E"/>
    <w:rsid w:val="00866717"/>
    <w:rsid w:val="00892BBD"/>
    <w:rsid w:val="008F675A"/>
    <w:rsid w:val="00906E70"/>
    <w:rsid w:val="00915D03"/>
    <w:rsid w:val="00927A03"/>
    <w:rsid w:val="009305AA"/>
    <w:rsid w:val="00934DDA"/>
    <w:rsid w:val="00936FAB"/>
    <w:rsid w:val="00953E3D"/>
    <w:rsid w:val="009B6EE3"/>
    <w:rsid w:val="009B748C"/>
    <w:rsid w:val="009C2714"/>
    <w:rsid w:val="009C6435"/>
    <w:rsid w:val="00A44068"/>
    <w:rsid w:val="00AA3BE5"/>
    <w:rsid w:val="00AA7729"/>
    <w:rsid w:val="00AB5F01"/>
    <w:rsid w:val="00AC4978"/>
    <w:rsid w:val="00B0483D"/>
    <w:rsid w:val="00B26D10"/>
    <w:rsid w:val="00B35F51"/>
    <w:rsid w:val="00B471BC"/>
    <w:rsid w:val="00B5295A"/>
    <w:rsid w:val="00B76C00"/>
    <w:rsid w:val="00B80196"/>
    <w:rsid w:val="00B82A1F"/>
    <w:rsid w:val="00BC5CD2"/>
    <w:rsid w:val="00BD47CA"/>
    <w:rsid w:val="00BF0851"/>
    <w:rsid w:val="00C36075"/>
    <w:rsid w:val="00C5056A"/>
    <w:rsid w:val="00C80DD2"/>
    <w:rsid w:val="00C93AA5"/>
    <w:rsid w:val="00CB1FF4"/>
    <w:rsid w:val="00CC26B4"/>
    <w:rsid w:val="00CF361A"/>
    <w:rsid w:val="00D123A4"/>
    <w:rsid w:val="00D369B3"/>
    <w:rsid w:val="00D6468C"/>
    <w:rsid w:val="00D85449"/>
    <w:rsid w:val="00DA118C"/>
    <w:rsid w:val="00DA453A"/>
    <w:rsid w:val="00DC67F2"/>
    <w:rsid w:val="00DF44A4"/>
    <w:rsid w:val="00DF6D1B"/>
    <w:rsid w:val="00E4460A"/>
    <w:rsid w:val="00E512EF"/>
    <w:rsid w:val="00E5382F"/>
    <w:rsid w:val="00E96A2E"/>
    <w:rsid w:val="00F41707"/>
    <w:rsid w:val="00F61FB2"/>
    <w:rsid w:val="00F66E57"/>
    <w:rsid w:val="00F73EA0"/>
    <w:rsid w:val="00F7622D"/>
    <w:rsid w:val="00FA2602"/>
    <w:rsid w:val="00FA4D74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C554C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BB84-FBD0-475E-A5C9-15CB9AFD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7</cp:revision>
  <cp:lastPrinted>2024-10-08T07:52:00Z</cp:lastPrinted>
  <dcterms:created xsi:type="dcterms:W3CDTF">2024-10-08T08:14:00Z</dcterms:created>
  <dcterms:modified xsi:type="dcterms:W3CDTF">2024-10-08T08:37:00Z</dcterms:modified>
</cp:coreProperties>
</file>