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EB3A9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925687" w:rsidRDefault="00925687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1053A4" w:rsidRDefault="00447524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 Татарстане дисквалифицировано</w:t>
      </w:r>
      <w:r w:rsidR="00732882">
        <w:rPr>
          <w:rFonts w:ascii="Segoe UI" w:hAnsi="Segoe UI"/>
          <w:b/>
          <w:sz w:val="32"/>
        </w:rPr>
        <w:t xml:space="preserve"> 13 арбитражных управляющих</w:t>
      </w:r>
      <w:r w:rsidR="001053A4" w:rsidRPr="00A52C56">
        <w:rPr>
          <w:rFonts w:ascii="Segoe UI" w:hAnsi="Segoe UI"/>
          <w:b/>
          <w:sz w:val="32"/>
        </w:rPr>
        <w:t xml:space="preserve"> </w:t>
      </w:r>
    </w:p>
    <w:p w:rsidR="00CB4306" w:rsidRDefault="00CB4306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047F18" w:rsidRPr="00447524" w:rsidRDefault="00447524" w:rsidP="00047F18">
      <w:pPr>
        <w:spacing w:after="100" w:afterAutospacing="1" w:line="240" w:lineRule="atLeast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447524">
        <w:rPr>
          <w:rFonts w:ascii="Segoe UI" w:hAnsi="Segoe UI"/>
          <w:i/>
          <w:color w:val="000000" w:themeColor="text1"/>
          <w:sz w:val="24"/>
          <w:szCs w:val="24"/>
        </w:rPr>
        <w:t>В</w:t>
      </w:r>
      <w:r w:rsidR="00636D07">
        <w:rPr>
          <w:rFonts w:ascii="Segoe UI" w:hAnsi="Segoe UI"/>
          <w:i/>
          <w:color w:val="000000" w:themeColor="text1"/>
          <w:sz w:val="24"/>
          <w:szCs w:val="24"/>
        </w:rPr>
        <w:t>сего в</w:t>
      </w:r>
      <w:r w:rsidR="00047F18" w:rsidRPr="00447524">
        <w:rPr>
          <w:rFonts w:ascii="Segoe UI" w:hAnsi="Segoe UI"/>
          <w:i/>
          <w:color w:val="000000" w:themeColor="text1"/>
          <w:sz w:val="24"/>
          <w:szCs w:val="24"/>
        </w:rPr>
        <w:t xml:space="preserve"> 2023 год</w:t>
      </w:r>
      <w:r w:rsidRPr="00447524">
        <w:rPr>
          <w:rFonts w:ascii="Segoe UI" w:hAnsi="Segoe UI"/>
          <w:i/>
          <w:color w:val="000000" w:themeColor="text1"/>
          <w:sz w:val="24"/>
          <w:szCs w:val="24"/>
        </w:rPr>
        <w:t xml:space="preserve">у </w:t>
      </w:r>
      <w:r w:rsidR="00047F18" w:rsidRPr="00447524">
        <w:rPr>
          <w:rFonts w:ascii="Segoe UI" w:hAnsi="Segoe UI"/>
          <w:i/>
          <w:color w:val="000000" w:themeColor="text1"/>
          <w:sz w:val="24"/>
          <w:szCs w:val="24"/>
        </w:rPr>
        <w:t xml:space="preserve">Росреестр Татарстана </w:t>
      </w:r>
      <w:r>
        <w:rPr>
          <w:rFonts w:ascii="Segoe UI" w:hAnsi="Segoe UI"/>
          <w:i/>
          <w:color w:val="000000" w:themeColor="text1"/>
          <w:sz w:val="24"/>
          <w:szCs w:val="24"/>
        </w:rPr>
        <w:t>рассмотрел более 57</w:t>
      </w:r>
      <w:r w:rsidRPr="00447524">
        <w:rPr>
          <w:rFonts w:ascii="Segoe UI" w:hAnsi="Segoe UI"/>
          <w:i/>
          <w:color w:val="000000" w:themeColor="text1"/>
          <w:sz w:val="24"/>
          <w:szCs w:val="24"/>
        </w:rPr>
        <w:t>0 жалоб</w:t>
      </w:r>
      <w:r w:rsidR="00047F18" w:rsidRPr="00447524">
        <w:rPr>
          <w:rFonts w:ascii="Segoe UI" w:hAnsi="Segoe UI"/>
          <w:i/>
          <w:color w:val="000000" w:themeColor="text1"/>
          <w:sz w:val="24"/>
          <w:szCs w:val="24"/>
        </w:rPr>
        <w:t xml:space="preserve"> на действия (безде</w:t>
      </w:r>
      <w:r>
        <w:rPr>
          <w:rFonts w:ascii="Segoe UI" w:hAnsi="Segoe UI"/>
          <w:i/>
          <w:color w:val="000000" w:themeColor="text1"/>
          <w:sz w:val="24"/>
          <w:szCs w:val="24"/>
        </w:rPr>
        <w:t>йствие) арбитражных управляющих</w:t>
      </w:r>
      <w:r w:rsidR="00675271">
        <w:rPr>
          <w:rFonts w:ascii="Segoe UI" w:hAnsi="Segoe UI"/>
          <w:i/>
          <w:color w:val="000000" w:themeColor="text1"/>
          <w:sz w:val="24"/>
          <w:szCs w:val="24"/>
        </w:rPr>
        <w:t xml:space="preserve"> при проведении процедуры банкротства</w:t>
      </w:r>
    </w:p>
    <w:p w:rsidR="008267CB" w:rsidRPr="00EB1553" w:rsidRDefault="00447524" w:rsidP="008267C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Н</w:t>
      </w:r>
      <w:r w:rsidR="00047F18" w:rsidRPr="00047F18">
        <w:rPr>
          <w:rFonts w:ascii="Segoe UI" w:hAnsi="Segoe UI"/>
          <w:color w:val="000000" w:themeColor="text1"/>
          <w:sz w:val="24"/>
          <w:szCs w:val="24"/>
        </w:rPr>
        <w:t xml:space="preserve">а основании поступивших жалоб, а также в результате непосредственно обнаруженных данных о противоправном деянии, составлено </w:t>
      </w:r>
      <w:r w:rsidRPr="000A4BA3">
        <w:rPr>
          <w:rFonts w:ascii="Segoe UI" w:hAnsi="Segoe UI"/>
          <w:b/>
          <w:color w:val="000000" w:themeColor="text1"/>
          <w:sz w:val="24"/>
          <w:szCs w:val="24"/>
        </w:rPr>
        <w:t>184 протокола</w:t>
      </w:r>
      <w:r w:rsidR="00047F18" w:rsidRPr="00047F18">
        <w:rPr>
          <w:rFonts w:ascii="Segoe UI" w:hAnsi="Segoe UI"/>
          <w:color w:val="000000" w:themeColor="text1"/>
          <w:sz w:val="24"/>
          <w:szCs w:val="24"/>
        </w:rPr>
        <w:t xml:space="preserve"> об административных правонарушениях в отношении арбитражных управляющих. Заявления о привлечении к административной ответственности направлены в Ар</w:t>
      </w:r>
      <w:r w:rsidR="00C843D6">
        <w:rPr>
          <w:rFonts w:ascii="Segoe UI" w:hAnsi="Segoe UI"/>
          <w:color w:val="000000" w:themeColor="text1"/>
          <w:sz w:val="24"/>
          <w:szCs w:val="24"/>
        </w:rPr>
        <w:t>битражный суд Республики Татарстан</w:t>
      </w:r>
      <w:r w:rsidR="00047F18" w:rsidRPr="00047F18">
        <w:rPr>
          <w:rFonts w:ascii="Segoe UI" w:hAnsi="Segoe UI"/>
          <w:color w:val="000000" w:themeColor="text1"/>
          <w:sz w:val="24"/>
          <w:szCs w:val="24"/>
        </w:rPr>
        <w:t>.</w:t>
      </w:r>
      <w:r w:rsidR="008267CB" w:rsidRPr="008267C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r w:rsidR="008267CB" w:rsidRPr="00EB1553">
        <w:rPr>
          <w:rFonts w:ascii="Segoe UI" w:hAnsi="Segoe UI"/>
          <w:color w:val="000000" w:themeColor="text1"/>
          <w:sz w:val="24"/>
          <w:szCs w:val="24"/>
        </w:rPr>
        <w:t xml:space="preserve">По результатам их рассмотрения </w:t>
      </w:r>
      <w:r w:rsidR="000A4BA3">
        <w:rPr>
          <w:rFonts w:ascii="Segoe UI" w:hAnsi="Segoe UI"/>
          <w:color w:val="000000" w:themeColor="text1"/>
          <w:sz w:val="24"/>
          <w:szCs w:val="24"/>
        </w:rPr>
        <w:t xml:space="preserve">вынесено </w:t>
      </w:r>
      <w:r w:rsidR="000A4BA3" w:rsidRPr="000A4BA3">
        <w:rPr>
          <w:rFonts w:ascii="Segoe UI" w:hAnsi="Segoe UI"/>
          <w:b/>
          <w:color w:val="000000" w:themeColor="text1"/>
          <w:sz w:val="24"/>
          <w:szCs w:val="24"/>
        </w:rPr>
        <w:t>154 судебных акта</w:t>
      </w:r>
      <w:r w:rsidR="000A4BA3">
        <w:rPr>
          <w:rFonts w:ascii="Segoe UI" w:hAnsi="Segoe UI"/>
          <w:color w:val="000000" w:themeColor="text1"/>
          <w:sz w:val="24"/>
          <w:szCs w:val="24"/>
        </w:rPr>
        <w:t xml:space="preserve">, в том числе </w:t>
      </w:r>
      <w:r w:rsidR="000A4BA3" w:rsidRPr="000A4BA3">
        <w:rPr>
          <w:rFonts w:ascii="Segoe UI" w:hAnsi="Segoe UI"/>
          <w:b/>
          <w:color w:val="000000" w:themeColor="text1"/>
          <w:sz w:val="24"/>
          <w:szCs w:val="24"/>
        </w:rPr>
        <w:t>8</w:t>
      </w:r>
      <w:r w:rsidR="000A4BA3" w:rsidRPr="000A4BA3">
        <w:rPr>
          <w:rFonts w:ascii="Segoe UI" w:hAnsi="Segoe UI"/>
          <w:color w:val="000000" w:themeColor="text1"/>
          <w:sz w:val="24"/>
          <w:szCs w:val="24"/>
        </w:rPr>
        <w:t xml:space="preserve"> судебных актов </w:t>
      </w:r>
      <w:r w:rsidR="000A4BA3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0A4BA3" w:rsidRPr="000A4BA3">
        <w:rPr>
          <w:rFonts w:ascii="Segoe UI" w:hAnsi="Segoe UI"/>
          <w:color w:val="000000" w:themeColor="text1"/>
          <w:sz w:val="24"/>
          <w:szCs w:val="24"/>
        </w:rPr>
        <w:t>о привлечении к административной ответственности в виде штрафа</w:t>
      </w:r>
      <w:r w:rsidR="008267CB" w:rsidRPr="00EB1553">
        <w:rPr>
          <w:rFonts w:ascii="Segoe UI" w:hAnsi="Segoe UI"/>
          <w:color w:val="000000" w:themeColor="text1"/>
          <w:sz w:val="24"/>
          <w:szCs w:val="24"/>
        </w:rPr>
        <w:t xml:space="preserve">. В </w:t>
      </w:r>
      <w:r w:rsidR="008267CB" w:rsidRPr="000A4BA3">
        <w:rPr>
          <w:rFonts w:ascii="Segoe UI" w:hAnsi="Segoe UI"/>
          <w:b/>
          <w:color w:val="000000" w:themeColor="text1"/>
          <w:sz w:val="24"/>
          <w:szCs w:val="24"/>
        </w:rPr>
        <w:t>13</w:t>
      </w:r>
      <w:r w:rsidR="008267CB" w:rsidRPr="00EB1553">
        <w:rPr>
          <w:rFonts w:ascii="Segoe UI" w:hAnsi="Segoe UI"/>
          <w:color w:val="000000" w:themeColor="text1"/>
          <w:sz w:val="24"/>
          <w:szCs w:val="24"/>
        </w:rPr>
        <w:t xml:space="preserve"> случаях</w:t>
      </w:r>
      <w:r w:rsidR="00EB1553" w:rsidRPr="00EB1553">
        <w:rPr>
          <w:rFonts w:ascii="Segoe UI" w:hAnsi="Segoe UI"/>
          <w:color w:val="000000" w:themeColor="text1"/>
          <w:sz w:val="24"/>
          <w:szCs w:val="24"/>
        </w:rPr>
        <w:t>,</w:t>
      </w:r>
      <w:r w:rsidR="008267CB" w:rsidRPr="00EB1553">
        <w:rPr>
          <w:rFonts w:ascii="Segoe UI" w:hAnsi="Segoe UI"/>
          <w:color w:val="000000" w:themeColor="text1"/>
          <w:sz w:val="24"/>
          <w:szCs w:val="24"/>
        </w:rPr>
        <w:t xml:space="preserve"> в связи с учетом тяжести ли</w:t>
      </w:r>
      <w:r w:rsidR="00EB1553" w:rsidRPr="00EB1553">
        <w:rPr>
          <w:rFonts w:ascii="Segoe UI" w:hAnsi="Segoe UI"/>
          <w:color w:val="000000" w:themeColor="text1"/>
          <w:sz w:val="24"/>
          <w:szCs w:val="24"/>
        </w:rPr>
        <w:t xml:space="preserve">бо повторности нарушений закона, </w:t>
      </w:r>
      <w:r w:rsidR="008267CB" w:rsidRPr="00EB1553">
        <w:rPr>
          <w:rFonts w:ascii="Segoe UI" w:hAnsi="Segoe UI"/>
          <w:color w:val="000000" w:themeColor="text1"/>
          <w:sz w:val="24"/>
          <w:szCs w:val="24"/>
        </w:rPr>
        <w:t>судами вынесены решения о дисквалификации арбитражных управляющих.</w:t>
      </w:r>
    </w:p>
    <w:p w:rsidR="00C51B14" w:rsidRPr="00247331" w:rsidRDefault="00C51B14" w:rsidP="00C51B14">
      <w:pPr>
        <w:spacing w:after="100" w:afterAutospacing="1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C51B14">
        <w:rPr>
          <w:rFonts w:ascii="Segoe UI" w:hAnsi="Segoe UI"/>
          <w:i/>
          <w:color w:val="000000" w:themeColor="text1"/>
          <w:sz w:val="24"/>
          <w:szCs w:val="24"/>
        </w:rPr>
        <w:t xml:space="preserve">«На сегодняшний день в саморегулируемых организациях, действующих на территории республики, числится около </w:t>
      </w:r>
      <w:r w:rsidR="002E357F">
        <w:rPr>
          <w:rFonts w:ascii="Segoe UI" w:hAnsi="Segoe UI"/>
          <w:i/>
          <w:color w:val="000000" w:themeColor="text1"/>
          <w:sz w:val="24"/>
          <w:szCs w:val="24"/>
        </w:rPr>
        <w:t>5</w:t>
      </w:r>
      <w:r w:rsidRPr="00C51B14">
        <w:rPr>
          <w:rFonts w:ascii="Segoe UI" w:hAnsi="Segoe UI"/>
          <w:i/>
          <w:color w:val="000000" w:themeColor="text1"/>
          <w:sz w:val="24"/>
          <w:szCs w:val="24"/>
        </w:rPr>
        <w:t xml:space="preserve">00 арбитражных управляющих. </w:t>
      </w:r>
      <w:r>
        <w:rPr>
          <w:rFonts w:ascii="Segoe UI" w:hAnsi="Segoe UI"/>
          <w:i/>
          <w:color w:val="000000" w:themeColor="text1"/>
          <w:sz w:val="24"/>
          <w:szCs w:val="24"/>
        </w:rPr>
        <w:t>Наш а</w:t>
      </w:r>
      <w:r w:rsidRPr="00C62363">
        <w:rPr>
          <w:rFonts w:ascii="Segoe UI" w:hAnsi="Segoe UI"/>
          <w:i/>
          <w:color w:val="000000" w:themeColor="text1"/>
          <w:sz w:val="24"/>
          <w:szCs w:val="24"/>
        </w:rPr>
        <w:t xml:space="preserve">нализ показал, что количество нарушений закона со стороны арбитражных управляющих </w:t>
      </w:r>
      <w:r w:rsidR="009E0FBB">
        <w:rPr>
          <w:rFonts w:ascii="Segoe UI" w:hAnsi="Segoe UI"/>
          <w:i/>
          <w:color w:val="000000" w:themeColor="text1"/>
          <w:sz w:val="24"/>
          <w:szCs w:val="24"/>
        </w:rPr>
        <w:t xml:space="preserve">при проведении процедуры банкротства </w:t>
      </w:r>
      <w:r w:rsidRPr="00C62363">
        <w:rPr>
          <w:rFonts w:ascii="Segoe UI" w:hAnsi="Segoe UI"/>
          <w:i/>
          <w:color w:val="000000" w:themeColor="text1"/>
          <w:sz w:val="24"/>
          <w:szCs w:val="24"/>
        </w:rPr>
        <w:t xml:space="preserve">остается достаточно высоким. </w:t>
      </w:r>
      <w:r w:rsidRPr="00C51B14">
        <w:rPr>
          <w:rFonts w:ascii="Segoe UI" w:hAnsi="Segoe UI"/>
          <w:i/>
          <w:color w:val="000000" w:themeColor="text1"/>
          <w:sz w:val="24"/>
          <w:szCs w:val="24"/>
        </w:rPr>
        <w:t>За прошлый год</w:t>
      </w:r>
      <w:r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Pr="00C51B14">
        <w:rPr>
          <w:rFonts w:ascii="Segoe UI" w:hAnsi="Segoe UI"/>
          <w:i/>
          <w:color w:val="000000" w:themeColor="text1"/>
          <w:sz w:val="24"/>
          <w:szCs w:val="24"/>
        </w:rPr>
        <w:t xml:space="preserve"> например, в наше ведомство, поступило более 570 жалоб на действия (бездействия) арбитражных управляющих», - сообщил </w:t>
      </w:r>
      <w:r w:rsidR="00247331" w:rsidRPr="00247331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</w:t>
      </w:r>
      <w:r w:rsidRPr="00247331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r w:rsidR="00247331" w:rsidRPr="00247331">
        <w:rPr>
          <w:rFonts w:ascii="Segoe UI" w:hAnsi="Segoe UI"/>
          <w:b/>
          <w:i/>
          <w:color w:val="000000" w:themeColor="text1"/>
          <w:sz w:val="24"/>
          <w:szCs w:val="24"/>
        </w:rPr>
        <w:t>руководителя</w:t>
      </w:r>
      <w:r w:rsidRPr="00247331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Росреестра Татарстана </w:t>
      </w:r>
      <w:r w:rsidR="00247331" w:rsidRPr="00247331">
        <w:rPr>
          <w:rFonts w:ascii="Segoe UI" w:hAnsi="Segoe UI"/>
          <w:b/>
          <w:i/>
          <w:color w:val="000000" w:themeColor="text1"/>
          <w:sz w:val="24"/>
          <w:szCs w:val="24"/>
        </w:rPr>
        <w:t>Линар Гатин</w:t>
      </w:r>
      <w:r w:rsidRPr="00247331">
        <w:rPr>
          <w:rFonts w:ascii="Segoe UI" w:hAnsi="Segoe UI"/>
          <w:b/>
          <w:i/>
          <w:color w:val="000000" w:themeColor="text1"/>
          <w:sz w:val="24"/>
          <w:szCs w:val="24"/>
        </w:rPr>
        <w:t>.</w:t>
      </w:r>
    </w:p>
    <w:p w:rsidR="00925687" w:rsidRDefault="00C51B14" w:rsidP="00247331">
      <w:pPr>
        <w:spacing w:after="100" w:afterAutospacing="1" w:line="240" w:lineRule="atLeast"/>
        <w:jc w:val="both"/>
        <w:rPr>
          <w:rFonts w:ascii="Segoe UI" w:hAnsi="Segoe UI"/>
          <w:b/>
          <w:sz w:val="20"/>
        </w:rPr>
      </w:pPr>
      <w:r w:rsidRPr="00C51B14">
        <w:rPr>
          <w:rFonts w:ascii="Segoe UI" w:hAnsi="Segoe UI"/>
          <w:color w:val="000000" w:themeColor="text1"/>
          <w:sz w:val="24"/>
          <w:szCs w:val="24"/>
        </w:rPr>
        <w:t>К типичным нарушениям арбитражных управляющих при проведении процедуры банкротства относятся, прежде всего, нарушение порядка и сроков опубликования сообщений в ЕФРСБ, сроков проведения инвентаризации имущества должника, порядка проведения торгов, общих правил составления отчетов, порядка организации и проведения собрания кредиторов, непринятие мер, направленных на поиск и возвра</w:t>
      </w:r>
      <w:r>
        <w:rPr>
          <w:rFonts w:ascii="Segoe UI" w:hAnsi="Segoe UI"/>
          <w:color w:val="000000" w:themeColor="text1"/>
          <w:sz w:val="24"/>
          <w:szCs w:val="24"/>
        </w:rPr>
        <w:t>т имущества должника и т.д.</w:t>
      </w:r>
    </w:p>
    <w:p w:rsidR="00247331" w:rsidRDefault="00247331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0C57EC" w:rsidRDefault="00A51C07" w:rsidP="000C57EC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483715" w:rsidRDefault="000C57EC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483715" w:rsidSect="0024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349A"/>
    <w:rsid w:val="000A4BA3"/>
    <w:rsid w:val="000B36D2"/>
    <w:rsid w:val="000C57EC"/>
    <w:rsid w:val="000E4DB0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6481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22BF"/>
    <w:rsid w:val="003B3B40"/>
    <w:rsid w:val="003F55C5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57B88"/>
    <w:rsid w:val="00567641"/>
    <w:rsid w:val="00571E9C"/>
    <w:rsid w:val="00591F32"/>
    <w:rsid w:val="005B4E7C"/>
    <w:rsid w:val="005B6ACF"/>
    <w:rsid w:val="005B71D9"/>
    <w:rsid w:val="005D693D"/>
    <w:rsid w:val="005D6FFB"/>
    <w:rsid w:val="005F5E8D"/>
    <w:rsid w:val="00614FC7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21C73"/>
    <w:rsid w:val="008258AC"/>
    <w:rsid w:val="008267CB"/>
    <w:rsid w:val="00837D2C"/>
    <w:rsid w:val="0084467B"/>
    <w:rsid w:val="008848C4"/>
    <w:rsid w:val="00897DC8"/>
    <w:rsid w:val="008A3F49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E0FBB"/>
    <w:rsid w:val="009E11A7"/>
    <w:rsid w:val="009E2ADB"/>
    <w:rsid w:val="00A05B0C"/>
    <w:rsid w:val="00A1120D"/>
    <w:rsid w:val="00A16973"/>
    <w:rsid w:val="00A51C07"/>
    <w:rsid w:val="00A52C56"/>
    <w:rsid w:val="00A5345B"/>
    <w:rsid w:val="00A579A1"/>
    <w:rsid w:val="00A64BE1"/>
    <w:rsid w:val="00AB37AD"/>
    <w:rsid w:val="00AD23A3"/>
    <w:rsid w:val="00AD3DDD"/>
    <w:rsid w:val="00AE5EE1"/>
    <w:rsid w:val="00B01DDD"/>
    <w:rsid w:val="00B402F3"/>
    <w:rsid w:val="00B41401"/>
    <w:rsid w:val="00B57CEE"/>
    <w:rsid w:val="00B7169D"/>
    <w:rsid w:val="00B8554E"/>
    <w:rsid w:val="00BB3BC4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F043D5"/>
    <w:rsid w:val="00F062E5"/>
    <w:rsid w:val="00F157CC"/>
    <w:rsid w:val="00F202C1"/>
    <w:rsid w:val="00FF479B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1A19-8F1D-4956-AD6E-C57C126A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2024-01-15T08:36:00Z</cp:lastPrinted>
  <dcterms:created xsi:type="dcterms:W3CDTF">2024-02-08T13:41:00Z</dcterms:created>
  <dcterms:modified xsi:type="dcterms:W3CDTF">2024-02-14T11:40:00Z</dcterms:modified>
</cp:coreProperties>
</file>