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EF" w:rsidRPr="000403EF" w:rsidRDefault="000403EF" w:rsidP="00040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8"/>
          <w:szCs w:val="28"/>
          <w:lang w:eastAsia="ru-RU"/>
        </w:rPr>
      </w:pPr>
      <w:r w:rsidRPr="000403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8"/>
          <w:szCs w:val="28"/>
          <w:lang w:eastAsia="ru-RU"/>
        </w:rPr>
        <w:t>Обязанности продавца при комиссионной торговле</w:t>
      </w:r>
    </w:p>
    <w:p w:rsidR="000403EF" w:rsidRPr="000403EF" w:rsidRDefault="000403EF" w:rsidP="000403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b/>
          <w:bCs/>
          <w:color w:val="000000" w:themeColor="text1"/>
          <w:spacing w:val="8"/>
          <w:sz w:val="28"/>
          <w:szCs w:val="28"/>
        </w:rPr>
        <w:t>Комиссионная торговля</w:t>
      </w:r>
      <w:r w:rsidRPr="000403EF">
        <w:rPr>
          <w:color w:val="000000" w:themeColor="text1"/>
          <w:spacing w:val="8"/>
          <w:sz w:val="28"/>
          <w:szCs w:val="28"/>
        </w:rPr>
        <w:t> – это вид предпринимательской деятельности, при которой отношения сторон регулируются договором комиссии, в рамках которого одна сторона поручает другой совершить продажу своего товара за вознаграждение.</w:t>
      </w: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Продажа комиссионных товаров и товаров, бывших в употреблении, </w:t>
      </w:r>
      <w:r w:rsidRPr="000403EF">
        <w:rPr>
          <w:b/>
          <w:bCs/>
          <w:color w:val="000000" w:themeColor="text1"/>
          <w:spacing w:val="8"/>
          <w:sz w:val="28"/>
          <w:szCs w:val="28"/>
        </w:rPr>
        <w:t>регулируется </w:t>
      </w:r>
      <w:r w:rsidRPr="000403EF">
        <w:rPr>
          <w:color w:val="000000" w:themeColor="text1"/>
          <w:spacing w:val="8"/>
          <w:sz w:val="28"/>
          <w:szCs w:val="28"/>
        </w:rPr>
        <w:t>Правилами продажи товаров по договору розничной купли-продажи (утв. Постановлением Правительства Российской Федерации от 31 декабря 2020 г. № 2463).</w:t>
      </w: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Так, не допускается комиссионная торговля товарами, которые изъяты из оборота, розничная продажа которых запрещена или ограничена, товарами для профилактики и лечения заболеваний в домашних условиях, предметами личной гигиены, изделиями швейными и трикотажными бельевыми, изделиями чулочно-носочными, изделиями и материалами, контактирующими с пищевыми продуктами, из полимерных материалов, в том числе для разового использования, товарами бытовой химии и лекарственными препаратами.</w:t>
      </w: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При продаже непродовольственных товаров, принятых на комиссию, кроме общей информации о товаре (его потребительские свойства, цена) продавец </w:t>
      </w:r>
      <w:r w:rsidRPr="000403EF">
        <w:rPr>
          <w:b/>
          <w:bCs/>
          <w:color w:val="000000" w:themeColor="text1"/>
          <w:spacing w:val="8"/>
          <w:sz w:val="28"/>
          <w:szCs w:val="28"/>
        </w:rPr>
        <w:t>обязан предоставить потребителю следующую информацию</w:t>
      </w:r>
      <w:r w:rsidRPr="000403EF">
        <w:rPr>
          <w:color w:val="000000" w:themeColor="text1"/>
          <w:spacing w:val="8"/>
          <w:sz w:val="28"/>
          <w:szCs w:val="28"/>
        </w:rPr>
        <w:t>:</w:t>
      </w:r>
    </w:p>
    <w:p w:rsidR="000403EF" w:rsidRPr="000403EF" w:rsidRDefault="000403EF" w:rsidP="000403EF">
      <w:pPr>
        <w:pStyle w:val="a3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- сведения, характеризующие состояние товара (новый, бывший в употреблении, недостатки товара);</w:t>
      </w:r>
    </w:p>
    <w:p w:rsidR="000403EF" w:rsidRPr="000403EF" w:rsidRDefault="000403EF" w:rsidP="000403EF">
      <w:pPr>
        <w:pStyle w:val="a3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- сведения о подтверждении соответствия товара установленным требованиям, а также о сроке годности и (или) сроке службы. Если такая информация отсутствует, продавец обязан предоставить потребителю информацию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Данная информация должна быть указана на товарном ярлыке.</w:t>
      </w:r>
    </w:p>
    <w:p w:rsidR="000403EF" w:rsidRPr="000403EF" w:rsidRDefault="000403EF" w:rsidP="000403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При передаче товара продавец обязан передать потребителю (при наличии) установленный изготовителем комплект принадлежностей и документы, содержащие информацию о правилах и условиях безопасного использования товара.</w:t>
      </w:r>
    </w:p>
    <w:p w:rsidR="000403EF" w:rsidRDefault="000403EF" w:rsidP="000403EF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0403EF">
        <w:rPr>
          <w:color w:val="000000" w:themeColor="text1"/>
          <w:spacing w:val="8"/>
          <w:sz w:val="28"/>
          <w:szCs w:val="28"/>
        </w:rPr>
        <w:t>Также вместе с товаром, в отношении которого установлен гарантийный срок, если он не истек, продавец обязан передать потребителю (при наличии) соответствующие технические и (или) эксплуатационные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0403EF" w:rsidRPr="000403EF" w:rsidRDefault="000403EF" w:rsidP="000403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737C" w:rsidRDefault="0084737C" w:rsidP="000403EF">
      <w:pPr>
        <w:pStyle w:val="a3"/>
        <w:spacing w:before="0" w:beforeAutospacing="0" w:after="150" w:afterAutospacing="0"/>
        <w:jc w:val="both"/>
        <w:rPr>
          <w:i/>
          <w:color w:val="000000" w:themeColor="text1"/>
          <w:spacing w:val="8"/>
          <w:sz w:val="28"/>
          <w:szCs w:val="28"/>
        </w:rPr>
      </w:pPr>
    </w:p>
    <w:p w:rsidR="0084737C" w:rsidRDefault="0084737C" w:rsidP="000403EF">
      <w:pPr>
        <w:pStyle w:val="a3"/>
        <w:spacing w:before="0" w:beforeAutospacing="0" w:after="150" w:afterAutospacing="0"/>
        <w:jc w:val="both"/>
        <w:rPr>
          <w:i/>
          <w:color w:val="000000" w:themeColor="text1"/>
          <w:spacing w:val="8"/>
          <w:sz w:val="28"/>
          <w:szCs w:val="28"/>
        </w:rPr>
      </w:pPr>
    </w:p>
    <w:p w:rsidR="0084737C" w:rsidRDefault="0084737C" w:rsidP="000403EF">
      <w:pPr>
        <w:pStyle w:val="a3"/>
        <w:spacing w:before="0" w:beforeAutospacing="0" w:after="150" w:afterAutospacing="0"/>
        <w:jc w:val="both"/>
        <w:rPr>
          <w:i/>
          <w:color w:val="000000" w:themeColor="text1"/>
          <w:spacing w:val="8"/>
          <w:sz w:val="28"/>
          <w:szCs w:val="28"/>
        </w:rPr>
      </w:pPr>
    </w:p>
    <w:p w:rsidR="0084737C" w:rsidRDefault="0084737C" w:rsidP="000403EF">
      <w:pPr>
        <w:pStyle w:val="a3"/>
        <w:spacing w:before="0" w:beforeAutospacing="0" w:after="150" w:afterAutospacing="0"/>
        <w:jc w:val="both"/>
        <w:rPr>
          <w:i/>
          <w:color w:val="000000" w:themeColor="text1"/>
          <w:spacing w:val="8"/>
          <w:sz w:val="28"/>
          <w:szCs w:val="28"/>
        </w:rPr>
      </w:pPr>
    </w:p>
    <w:p w:rsidR="0084737C" w:rsidRPr="0084737C" w:rsidRDefault="0084737C" w:rsidP="0084737C">
      <w:pPr>
        <w:pStyle w:val="a3"/>
        <w:spacing w:after="150"/>
        <w:jc w:val="center"/>
        <w:rPr>
          <w:color w:val="000000" w:themeColor="text1"/>
          <w:spacing w:val="8"/>
          <w:sz w:val="28"/>
          <w:szCs w:val="28"/>
        </w:rPr>
      </w:pPr>
      <w:proofErr w:type="spellStart"/>
      <w:r w:rsidRPr="0084737C">
        <w:rPr>
          <w:color w:val="000000" w:themeColor="text1"/>
          <w:spacing w:val="8"/>
          <w:sz w:val="28"/>
          <w:szCs w:val="28"/>
        </w:rPr>
        <w:lastRenderedPageBreak/>
        <w:t>Комиссияле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сәүдәдә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сатучының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бурычлары</w:t>
      </w:r>
      <w:proofErr w:type="spellEnd"/>
    </w:p>
    <w:p w:rsidR="0084737C" w:rsidRPr="0084737C" w:rsidRDefault="0084737C" w:rsidP="0084737C">
      <w:pPr>
        <w:pStyle w:val="a3"/>
        <w:spacing w:after="150"/>
        <w:jc w:val="both"/>
        <w:rPr>
          <w:color w:val="000000" w:themeColor="text1"/>
          <w:spacing w:val="8"/>
          <w:sz w:val="28"/>
          <w:szCs w:val="28"/>
        </w:rPr>
      </w:pP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84737C">
        <w:rPr>
          <w:color w:val="000000" w:themeColor="text1"/>
          <w:spacing w:val="8"/>
          <w:sz w:val="28"/>
          <w:szCs w:val="28"/>
        </w:rPr>
        <w:t xml:space="preserve">Комиссия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сәүдәсе-эшкуарлык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эшчәнлеге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төре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Якларның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мөнәсәбәтләре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комиссия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килешүе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көйләнә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кысаларында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як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икенче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якка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үз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бүләкләү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өчен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йөкли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r w:rsidRPr="0084737C">
        <w:rPr>
          <w:color w:val="000000" w:themeColor="text1"/>
          <w:spacing w:val="8"/>
          <w:sz w:val="28"/>
          <w:szCs w:val="28"/>
        </w:rPr>
        <w:t xml:space="preserve">Комиссия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кулланышта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ваклап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сату-алу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килешүе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буенча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кагыйдәләре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көйләнә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(утв. Россия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Федерациясе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Хөкүмәтенең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2020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елның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31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декабрендәге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2463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номерлы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карары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).</w:t>
      </w: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84737C">
        <w:rPr>
          <w:color w:val="000000" w:themeColor="text1"/>
          <w:spacing w:val="8"/>
          <w:sz w:val="28"/>
          <w:szCs w:val="28"/>
        </w:rPr>
        <w:t>Мәсәлән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әйләнештән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алынган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ваклап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тыелган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яки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чикләнгән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өй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шартларында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авыруларны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профилактикалау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дәвалау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өчен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шәхси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гигиена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әйберләре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тегү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трикотаж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кер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киемнәре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чукча-носочный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әйберләр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азык-төлек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продуктлары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полимер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материаллардан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эшләнгән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әйберләр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материаллар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комиссияле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сәүдә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итү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рөхсәт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ителми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шул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исәптән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тапкыр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өчен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көнкүреш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химиясе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дару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препаратлары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84737C">
        <w:rPr>
          <w:color w:val="000000" w:themeColor="text1"/>
          <w:spacing w:val="8"/>
          <w:sz w:val="28"/>
          <w:szCs w:val="28"/>
        </w:rPr>
        <w:t>Комиссиягә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кабул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ителгән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азык-төлек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булмаган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товарларны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сатканда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товар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турында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гомуми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мәгълүматтан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тыш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үзлекләре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бәясе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)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кулланучыга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түбәндәге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бирергә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proofErr w:type="gramStart"/>
      <w:r w:rsidRPr="0084737C">
        <w:rPr>
          <w:color w:val="000000" w:themeColor="text1"/>
          <w:spacing w:val="8"/>
          <w:sz w:val="28"/>
          <w:szCs w:val="28"/>
        </w:rPr>
        <w:t>тиеш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::</w:t>
      </w:r>
      <w:proofErr w:type="gramEnd"/>
    </w:p>
    <w:p w:rsidR="0084737C" w:rsidRPr="0084737C" w:rsidRDefault="0084737C" w:rsidP="0084737C">
      <w:pPr>
        <w:pStyle w:val="a3"/>
        <w:spacing w:after="150"/>
        <w:jc w:val="both"/>
        <w:rPr>
          <w:color w:val="000000" w:themeColor="text1"/>
          <w:spacing w:val="8"/>
          <w:sz w:val="28"/>
          <w:szCs w:val="28"/>
        </w:rPr>
      </w:pPr>
      <w:r w:rsidRPr="0084737C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торышын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яңа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кулланылышта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proofErr w:type="gramStart"/>
      <w:r w:rsidRPr="0084737C">
        <w:rPr>
          <w:color w:val="000000" w:themeColor="text1"/>
          <w:spacing w:val="8"/>
          <w:sz w:val="28"/>
          <w:szCs w:val="28"/>
        </w:rPr>
        <w:t>кимчелекләрен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)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билгеләүче</w:t>
      </w:r>
      <w:proofErr w:type="spellEnd"/>
      <w:proofErr w:type="gram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мәгълүматлар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;</w:t>
      </w:r>
    </w:p>
    <w:p w:rsidR="0084737C" w:rsidRPr="0084737C" w:rsidRDefault="0084737C" w:rsidP="0084737C">
      <w:pPr>
        <w:pStyle w:val="a3"/>
        <w:spacing w:after="150"/>
        <w:jc w:val="both"/>
        <w:rPr>
          <w:color w:val="000000" w:themeColor="text1"/>
          <w:spacing w:val="8"/>
          <w:sz w:val="28"/>
          <w:szCs w:val="28"/>
        </w:rPr>
      </w:pPr>
      <w:r w:rsidRPr="0084737C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билгеләнгән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таләпләргә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туры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килүен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раслау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шулай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ук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яраклылык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вакыты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(яки)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хезмәт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итү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вакыты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турында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.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Әгәр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мондый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юк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икән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кулланучыга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билгеләнгән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таләпләргә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туры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килүе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расланырга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тиешлеге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аңа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яраклылык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вакыты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яки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хезмәт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итү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вакыты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билгеләнергә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тиешлеге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турында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бирергә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әмма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хакта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юк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84737C">
        <w:rPr>
          <w:color w:val="000000" w:themeColor="text1"/>
          <w:spacing w:val="8"/>
          <w:sz w:val="28"/>
          <w:szCs w:val="28"/>
        </w:rPr>
        <w:t>Бу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товар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ярлыгында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күрсәтелергә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84737C" w:rsidRPr="0084737C" w:rsidRDefault="0084737C" w:rsidP="0084737C">
      <w:pPr>
        <w:pStyle w:val="a3"/>
        <w:spacing w:after="150"/>
        <w:ind w:firstLine="708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тапшырганда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кулланучыга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очракта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)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җитештерүче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кирәк-яраклар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комплектын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куркынычсыз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кагыйдәләре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шартлары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турында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мәгълүматны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үз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эченә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документларны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тапшырырга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0403EF" w:rsidRPr="0084737C" w:rsidRDefault="0084737C" w:rsidP="0084737C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pacing w:val="8"/>
          <w:sz w:val="28"/>
          <w:szCs w:val="28"/>
        </w:rPr>
      </w:pPr>
      <w:bookmarkStart w:id="0" w:name="_GoBack"/>
      <w:bookmarkEnd w:id="0"/>
      <w:proofErr w:type="spellStart"/>
      <w:r w:rsidRPr="0084737C">
        <w:rPr>
          <w:color w:val="000000" w:themeColor="text1"/>
          <w:spacing w:val="8"/>
          <w:sz w:val="28"/>
          <w:szCs w:val="28"/>
        </w:rPr>
        <w:t>Шулай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ук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гарантия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срогы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билгеләнгән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товар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белән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бергә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әгәр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ул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тәмамланмаса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сатучы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кулланучыга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булган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очракта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)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тиешле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техник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һәм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(яки) эксплуатация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документларын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(техник паспорт яки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аны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алыштыручы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башка документ, эксплуатация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буенча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инструкция),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шулай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ук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кулланучының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калган гарантия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срогын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куллану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хокукын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раслаучы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товарга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гарантия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талонын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тапшырырга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84737C">
        <w:rPr>
          <w:color w:val="000000" w:themeColor="text1"/>
          <w:spacing w:val="8"/>
          <w:sz w:val="28"/>
          <w:szCs w:val="28"/>
        </w:rPr>
        <w:t>тиеш</w:t>
      </w:r>
      <w:proofErr w:type="spellEnd"/>
      <w:r w:rsidRPr="0084737C">
        <w:rPr>
          <w:color w:val="000000" w:themeColor="text1"/>
          <w:spacing w:val="8"/>
          <w:sz w:val="28"/>
          <w:szCs w:val="28"/>
        </w:rPr>
        <w:t>.</w:t>
      </w:r>
    </w:p>
    <w:p w:rsidR="000403EF" w:rsidRPr="0084737C" w:rsidRDefault="000403EF" w:rsidP="000403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3EF" w:rsidRPr="0084737C" w:rsidSect="000403E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F"/>
    <w:rsid w:val="000403EF"/>
    <w:rsid w:val="00702429"/>
    <w:rsid w:val="0084737C"/>
    <w:rsid w:val="00CE59CA"/>
    <w:rsid w:val="00F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9A81"/>
  <w15:docId w15:val="{C6527C5D-5591-4F7B-9D01-E7D81B7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GaifullinaAR</cp:lastModifiedBy>
  <cp:revision>2</cp:revision>
  <dcterms:created xsi:type="dcterms:W3CDTF">2023-09-28T13:25:00Z</dcterms:created>
  <dcterms:modified xsi:type="dcterms:W3CDTF">2023-09-28T13:25:00Z</dcterms:modified>
</cp:coreProperties>
</file>