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957580" cy="1085850"/>
            <wp:effectExtent l="19050" t="0" r="0" b="0"/>
            <wp:wrapTight wrapText="bothSides">
              <wp:wrapPolygon edited="0">
                <wp:start x="9454" y="0"/>
                <wp:lineTo x="4297" y="2274"/>
                <wp:lineTo x="3008" y="6063"/>
                <wp:lineTo x="6875" y="12126"/>
                <wp:lineTo x="3008" y="13642"/>
                <wp:lineTo x="-430" y="16295"/>
                <wp:lineTo x="-430" y="18189"/>
                <wp:lineTo x="1289" y="21221"/>
                <wp:lineTo x="1719" y="21221"/>
                <wp:lineTo x="19767" y="21221"/>
                <wp:lineTo x="21056" y="18568"/>
                <wp:lineTo x="21056" y="18189"/>
                <wp:lineTo x="21485" y="16295"/>
                <wp:lineTo x="19767" y="14779"/>
                <wp:lineTo x="15899" y="10232"/>
                <wp:lineTo x="17618" y="6442"/>
                <wp:lineTo x="16759" y="6063"/>
                <wp:lineTo x="18477" y="4168"/>
                <wp:lineTo x="17188" y="2274"/>
                <wp:lineTo x="12032" y="0"/>
                <wp:lineTo x="945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F466B" w:rsidRDefault="000F466B" w:rsidP="0073199E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Татарстане увеличилось количество</w:t>
      </w:r>
      <w:r w:rsidR="00711AE2">
        <w:rPr>
          <w:rFonts w:ascii="Segoe UI" w:hAnsi="Segoe UI" w:cs="Segoe UI"/>
          <w:b/>
          <w:color w:val="000000"/>
          <w:sz w:val="28"/>
          <w:szCs w:val="28"/>
        </w:rPr>
        <w:t xml:space="preserve"> детских садов, медицинских учреждений 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фермерских хозяйств</w:t>
      </w:r>
    </w:p>
    <w:p w:rsidR="009D6311" w:rsidRPr="000F466B" w:rsidRDefault="009D6311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Всего 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>по итогам 2022 год</w:t>
      </w:r>
      <w:r>
        <w:rPr>
          <w:rFonts w:ascii="Segoe UI" w:hAnsi="Segoe UI" w:cs="Segoe UI"/>
          <w:i/>
          <w:color w:val="000000"/>
          <w:sz w:val="24"/>
          <w:szCs w:val="24"/>
        </w:rPr>
        <w:t>а Росреестром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 xml:space="preserve"> Татар</w:t>
      </w:r>
      <w:r>
        <w:rPr>
          <w:rFonts w:ascii="Segoe UI" w:hAnsi="Segoe UI" w:cs="Segoe UI"/>
          <w:i/>
          <w:color w:val="000000"/>
          <w:sz w:val="24"/>
          <w:szCs w:val="24"/>
        </w:rPr>
        <w:t>с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>тана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025F4B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Единый государственный реестр недвижимости внесены сведения </w:t>
      </w:r>
      <w:r w:rsidR="0074516E">
        <w:rPr>
          <w:rFonts w:ascii="Segoe UI" w:hAnsi="Segoe UI" w:cs="Segoe UI"/>
          <w:i/>
          <w:color w:val="000000"/>
          <w:sz w:val="24"/>
          <w:szCs w:val="24"/>
        </w:rPr>
        <w:t>о 60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таких объектах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 xml:space="preserve">. </w:t>
      </w:r>
      <w:r w:rsidR="0074516E">
        <w:rPr>
          <w:rFonts w:ascii="Segoe UI" w:hAnsi="Segoe UI" w:cs="Segoe UI"/>
          <w:i/>
          <w:color w:val="000000"/>
          <w:sz w:val="24"/>
          <w:szCs w:val="24"/>
        </w:rPr>
        <w:t>Все они были оформлены в максимально короткие сроки.</w:t>
      </w:r>
    </w:p>
    <w:p w:rsidR="00C24934" w:rsidRPr="00DF63D9" w:rsidRDefault="00C24934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Так, ведомством поставлено на кадастровый учет </w:t>
      </w:r>
      <w:r w:rsidRPr="0074516E">
        <w:rPr>
          <w:rFonts w:ascii="Segoe UI" w:hAnsi="Segoe UI" w:cs="Segoe UI"/>
          <w:b/>
          <w:color w:val="000000"/>
          <w:sz w:val="24"/>
          <w:szCs w:val="24"/>
        </w:rPr>
        <w:t>1</w:t>
      </w:r>
      <w:r w:rsidR="00E26E8A" w:rsidRPr="0074516E">
        <w:rPr>
          <w:rFonts w:ascii="Segoe UI" w:hAnsi="Segoe UI" w:cs="Segoe UI"/>
          <w:b/>
          <w:color w:val="000000"/>
          <w:sz w:val="24"/>
          <w:szCs w:val="24"/>
        </w:rPr>
        <w:t>5</w:t>
      </w:r>
      <w:r w:rsidRPr="0074516E">
        <w:rPr>
          <w:rFonts w:ascii="Segoe UI" w:hAnsi="Segoe UI" w:cs="Segoe UI"/>
          <w:b/>
          <w:color w:val="000000"/>
          <w:sz w:val="24"/>
          <w:szCs w:val="24"/>
        </w:rPr>
        <w:t xml:space="preserve"> социальных объектов</w:t>
      </w:r>
      <w:r w:rsidRPr="00DF63D9">
        <w:rPr>
          <w:rFonts w:ascii="Segoe UI" w:hAnsi="Segoe UI" w:cs="Segoe UI"/>
          <w:color w:val="000000"/>
          <w:sz w:val="24"/>
          <w:szCs w:val="24"/>
        </w:rPr>
        <w:t xml:space="preserve"> недвижимости. Среди них </w:t>
      </w:r>
      <w:r w:rsidR="00E26E8A" w:rsidRPr="00DF63D9">
        <w:rPr>
          <w:rFonts w:ascii="Segoe UI" w:hAnsi="Segoe UI" w:cs="Segoe UI"/>
          <w:color w:val="000000"/>
          <w:sz w:val="24"/>
          <w:szCs w:val="24"/>
        </w:rPr>
        <w:t>7</w:t>
      </w:r>
      <w:r w:rsidRPr="00DF63D9">
        <w:rPr>
          <w:rFonts w:ascii="Segoe UI" w:hAnsi="Segoe UI" w:cs="Segoe UI"/>
          <w:color w:val="000000"/>
          <w:sz w:val="24"/>
          <w:szCs w:val="24"/>
        </w:rPr>
        <w:t xml:space="preserve"> детских садов с общим количеством на </w:t>
      </w:r>
      <w:r w:rsidR="00E26E8A" w:rsidRPr="00DF63D9">
        <w:rPr>
          <w:rFonts w:ascii="Segoe UI" w:hAnsi="Segoe UI" w:cs="Segoe UI"/>
          <w:color w:val="000000"/>
          <w:sz w:val="24"/>
          <w:szCs w:val="24"/>
        </w:rPr>
        <w:t>151</w:t>
      </w:r>
      <w:r w:rsidRPr="00DF63D9">
        <w:rPr>
          <w:rFonts w:ascii="Segoe UI" w:hAnsi="Segoe UI" w:cs="Segoe UI"/>
          <w:color w:val="000000"/>
          <w:sz w:val="24"/>
          <w:szCs w:val="24"/>
        </w:rPr>
        <w:t>0 мест. Самое большое образовательное учреждение – на 330 мест – расположено в Казани, в жилом комплексе "Новые Горки". Появился детский сад - на 260 мест - в жилом комплексе "Лето" Советского района и на 140 мест в поселке Константиновка.</w:t>
      </w:r>
    </w:p>
    <w:p w:rsidR="00C24934" w:rsidRDefault="00C24934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прошлом году дошкольные образовательные учреждения на 220 мест были построены и в пригородных районах Казани: </w:t>
      </w:r>
      <w:r w:rsidR="00E26E8A">
        <w:rPr>
          <w:rFonts w:ascii="Segoe UI" w:hAnsi="Segoe UI" w:cs="Segoe UI"/>
          <w:color w:val="000000"/>
          <w:sz w:val="24"/>
          <w:szCs w:val="24"/>
        </w:rPr>
        <w:t>в</w:t>
      </w:r>
      <w:r w:rsidR="00E26E8A" w:rsidRPr="005C2B7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26E8A">
        <w:rPr>
          <w:rFonts w:ascii="Segoe UI" w:hAnsi="Segoe UI" w:cs="Segoe UI"/>
          <w:color w:val="000000"/>
          <w:sz w:val="24"/>
          <w:szCs w:val="24"/>
        </w:rPr>
        <w:t>сельском поселении</w:t>
      </w:r>
      <w:r w:rsidR="00E26E8A" w:rsidRPr="000F7DF3">
        <w:rPr>
          <w:rFonts w:ascii="Segoe UI" w:hAnsi="Segoe UI" w:cs="Segoe UI"/>
          <w:color w:val="000000"/>
          <w:sz w:val="24"/>
          <w:szCs w:val="24"/>
        </w:rPr>
        <w:t xml:space="preserve"> Эстачи</w:t>
      </w:r>
      <w:r w:rsidR="00E26E8A">
        <w:rPr>
          <w:rFonts w:ascii="Segoe UI" w:hAnsi="Segoe UI" w:cs="Segoe UI"/>
          <w:color w:val="000000"/>
          <w:sz w:val="24"/>
          <w:szCs w:val="24"/>
        </w:rPr>
        <w:t xml:space="preserve"> Высокогорского района и 2 детских сада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E26E8A">
        <w:rPr>
          <w:rFonts w:ascii="Segoe UI" w:hAnsi="Segoe UI" w:cs="Segoe UI"/>
          <w:color w:val="000000"/>
          <w:sz w:val="24"/>
          <w:szCs w:val="24"/>
        </w:rPr>
        <w:t xml:space="preserve">Пестречинском районе – в </w:t>
      </w:r>
      <w:r>
        <w:rPr>
          <w:rFonts w:ascii="Segoe UI" w:hAnsi="Segoe UI" w:cs="Segoe UI"/>
          <w:color w:val="000000"/>
          <w:sz w:val="24"/>
          <w:szCs w:val="24"/>
        </w:rPr>
        <w:t>жилом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комплекс</w:t>
      </w:r>
      <w:r>
        <w:rPr>
          <w:rFonts w:ascii="Segoe UI" w:hAnsi="Segoe UI" w:cs="Segoe UI"/>
          <w:color w:val="000000"/>
          <w:sz w:val="24"/>
          <w:szCs w:val="24"/>
        </w:rPr>
        <w:t>е «</w:t>
      </w:r>
      <w:r w:rsidRPr="000F7DF3">
        <w:rPr>
          <w:rFonts w:ascii="Segoe UI" w:hAnsi="Segoe UI" w:cs="Segoe UI"/>
          <w:color w:val="000000"/>
          <w:sz w:val="24"/>
          <w:szCs w:val="24"/>
        </w:rPr>
        <w:t>Светлый</w:t>
      </w:r>
      <w:r>
        <w:rPr>
          <w:rFonts w:ascii="Segoe UI" w:hAnsi="Segoe UI" w:cs="Segoe UI"/>
          <w:color w:val="000000"/>
          <w:sz w:val="24"/>
          <w:szCs w:val="24"/>
        </w:rPr>
        <w:t xml:space="preserve">» и </w:t>
      </w:r>
      <w:r w:rsidR="00E26E8A">
        <w:rPr>
          <w:rFonts w:ascii="Segoe UI" w:hAnsi="Segoe UI" w:cs="Segoe UI"/>
          <w:color w:val="000000"/>
          <w:sz w:val="24"/>
          <w:szCs w:val="24"/>
        </w:rPr>
        <w:t xml:space="preserve">в селе </w:t>
      </w:r>
      <w:r w:rsidR="00E26E8A" w:rsidRPr="00E26E8A">
        <w:rPr>
          <w:rFonts w:ascii="Segoe UI" w:hAnsi="Segoe UI" w:cs="Segoe UI"/>
          <w:color w:val="000000"/>
          <w:sz w:val="24"/>
          <w:szCs w:val="24"/>
        </w:rPr>
        <w:t>Богородское</w:t>
      </w:r>
      <w:r w:rsidR="00E26E8A"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>Детский сад, рассчитанное на такое же количество мест, появился и в Набережных Челнах,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в</w:t>
      </w:r>
      <w:r>
        <w:rPr>
          <w:rFonts w:ascii="Segoe UI" w:hAnsi="Segoe UI" w:cs="Segoe UI"/>
          <w:color w:val="000000"/>
          <w:sz w:val="24"/>
          <w:szCs w:val="24"/>
        </w:rPr>
        <w:t xml:space="preserve"> жилом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район</w:t>
      </w:r>
      <w:r>
        <w:rPr>
          <w:rFonts w:ascii="Segoe UI" w:hAnsi="Segoe UI" w:cs="Segoe UI"/>
          <w:color w:val="000000"/>
          <w:sz w:val="24"/>
          <w:szCs w:val="24"/>
        </w:rPr>
        <w:t>е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"Притяжение".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C24934" w:rsidRDefault="00BE4703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</w:t>
      </w:r>
      <w:r w:rsidR="00C24934">
        <w:rPr>
          <w:rFonts w:ascii="Segoe UI" w:hAnsi="Segoe UI" w:cs="Segoe UI"/>
          <w:color w:val="000000"/>
          <w:sz w:val="24"/>
          <w:szCs w:val="24"/>
        </w:rPr>
        <w:t>фера здравоохранения пополнилась тремя фельдшерско-акушерскими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 пункта</w:t>
      </w:r>
      <w:r w:rsidR="00C24934">
        <w:rPr>
          <w:rFonts w:ascii="Segoe UI" w:hAnsi="Segoe UI" w:cs="Segoe UI"/>
          <w:color w:val="000000"/>
          <w:sz w:val="24"/>
          <w:szCs w:val="24"/>
        </w:rPr>
        <w:t>ми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 по модульной технологии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: они появились </w:t>
      </w:r>
      <w:r w:rsidR="00F60A35">
        <w:rPr>
          <w:rFonts w:ascii="Segoe UI" w:hAnsi="Segoe UI" w:cs="Segoe UI"/>
          <w:color w:val="000000"/>
          <w:sz w:val="24"/>
          <w:szCs w:val="24"/>
        </w:rPr>
        <w:t xml:space="preserve">селах 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>Янга-Аул Агрызского района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F60A35">
        <w:rPr>
          <w:rFonts w:ascii="Segoe UI" w:hAnsi="Segoe UI" w:cs="Segoe UI"/>
          <w:color w:val="000000"/>
          <w:sz w:val="24"/>
          <w:szCs w:val="24"/>
        </w:rPr>
        <w:t xml:space="preserve">Гари Елабужского района и </w:t>
      </w:r>
      <w:r w:rsidRPr="00BE4703">
        <w:rPr>
          <w:rFonts w:ascii="Segoe UI" w:hAnsi="Segoe UI" w:cs="Segoe UI"/>
          <w:color w:val="000000"/>
          <w:sz w:val="24"/>
          <w:szCs w:val="24"/>
        </w:rPr>
        <w:t>Подгорный Такермен</w:t>
      </w:r>
      <w:r>
        <w:rPr>
          <w:rFonts w:ascii="Segoe UI" w:hAnsi="Segoe UI" w:cs="Segoe UI"/>
          <w:color w:val="000000"/>
          <w:sz w:val="24"/>
          <w:szCs w:val="24"/>
        </w:rPr>
        <w:t xml:space="preserve"> Мензелинского </w:t>
      </w:r>
      <w:r w:rsidRPr="00BE4703">
        <w:rPr>
          <w:rFonts w:ascii="Segoe UI" w:hAnsi="Segoe UI" w:cs="Segoe UI"/>
          <w:color w:val="000000"/>
          <w:sz w:val="24"/>
          <w:szCs w:val="24"/>
        </w:rPr>
        <w:t>район</w:t>
      </w:r>
      <w:r>
        <w:rPr>
          <w:rFonts w:ascii="Segoe UI" w:hAnsi="Segoe UI" w:cs="Segoe UI"/>
          <w:color w:val="000000"/>
          <w:sz w:val="24"/>
          <w:szCs w:val="24"/>
        </w:rPr>
        <w:t xml:space="preserve">а. 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А в селе Новое Шигалеево, на территории 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ЖК </w:t>
      </w:r>
      <w:r w:rsidR="00C24934">
        <w:rPr>
          <w:rFonts w:ascii="Segoe UI" w:hAnsi="Segoe UI" w:cs="Segoe UI"/>
          <w:color w:val="000000"/>
          <w:sz w:val="24"/>
          <w:szCs w:val="24"/>
        </w:rPr>
        <w:t>«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>Усадьба Царево</w:t>
      </w:r>
      <w:r w:rsidR="00C24934">
        <w:rPr>
          <w:rFonts w:ascii="Segoe UI" w:hAnsi="Segoe UI" w:cs="Segoe UI"/>
          <w:color w:val="000000"/>
          <w:sz w:val="24"/>
          <w:szCs w:val="24"/>
        </w:rPr>
        <w:t>» открылся офис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 врача общей практики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8333C1" w:rsidRDefault="00C866D2" w:rsidP="008333C1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2022-м году открылись новые объекты, направленные на развитие культуры и спорта. </w:t>
      </w:r>
      <w:r w:rsidR="009D6311">
        <w:rPr>
          <w:rFonts w:ascii="Segoe UI" w:hAnsi="Segoe UI" w:cs="Segoe UI"/>
          <w:color w:val="000000"/>
          <w:sz w:val="24"/>
          <w:szCs w:val="24"/>
        </w:rPr>
        <w:t xml:space="preserve">Например, </w:t>
      </w:r>
      <w:r w:rsidR="00644F28">
        <w:rPr>
          <w:rFonts w:ascii="Segoe UI" w:hAnsi="Segoe UI" w:cs="Segoe UI"/>
          <w:color w:val="000000"/>
          <w:sz w:val="24"/>
          <w:szCs w:val="24"/>
        </w:rPr>
        <w:t>в селе</w:t>
      </w:r>
      <w:r w:rsidR="00644F28" w:rsidRPr="00644F28">
        <w:rPr>
          <w:rFonts w:ascii="Segoe UI" w:hAnsi="Segoe UI" w:cs="Segoe UI"/>
          <w:color w:val="000000"/>
          <w:sz w:val="24"/>
          <w:szCs w:val="24"/>
        </w:rPr>
        <w:t xml:space="preserve"> Коноваловка </w:t>
      </w:r>
      <w:r w:rsidR="00644F28">
        <w:rPr>
          <w:rFonts w:ascii="Segoe UI" w:hAnsi="Segoe UI" w:cs="Segoe UI"/>
          <w:color w:val="000000"/>
          <w:sz w:val="24"/>
          <w:szCs w:val="24"/>
        </w:rPr>
        <w:t xml:space="preserve">Мензелинского района и </w:t>
      </w:r>
      <w:r w:rsidR="00644F28" w:rsidRP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44F28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BE4703">
        <w:rPr>
          <w:rFonts w:ascii="Segoe UI" w:hAnsi="Segoe UI" w:cs="Segoe UI"/>
          <w:color w:val="000000"/>
          <w:sz w:val="24"/>
          <w:szCs w:val="24"/>
        </w:rPr>
        <w:t>деревне Аш-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>Бузи Кукморского района</w:t>
      </w:r>
      <w:r w:rsid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поставлен</w:t>
      </w:r>
      <w:r w:rsidR="00062588">
        <w:rPr>
          <w:rFonts w:ascii="Segoe UI" w:hAnsi="Segoe UI" w:cs="Segoe UI"/>
          <w:color w:val="000000"/>
          <w:sz w:val="24"/>
          <w:szCs w:val="24"/>
        </w:rPr>
        <w:t>ы</w:t>
      </w:r>
      <w:r>
        <w:rPr>
          <w:rFonts w:ascii="Segoe UI" w:hAnsi="Segoe UI" w:cs="Segoe UI"/>
          <w:color w:val="000000"/>
          <w:sz w:val="24"/>
          <w:szCs w:val="24"/>
        </w:rPr>
        <w:t xml:space="preserve"> на кадастровый учет </w:t>
      </w:r>
      <w:r w:rsidR="00062588">
        <w:rPr>
          <w:rFonts w:ascii="Segoe UI" w:hAnsi="Segoe UI" w:cs="Segoe UI"/>
          <w:color w:val="000000"/>
          <w:sz w:val="24"/>
          <w:szCs w:val="24"/>
        </w:rPr>
        <w:t>сельские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Дом</w:t>
      </w:r>
      <w:r w:rsidR="00062588">
        <w:rPr>
          <w:rFonts w:ascii="Segoe UI" w:hAnsi="Segoe UI" w:cs="Segoe UI"/>
          <w:color w:val="000000"/>
          <w:sz w:val="24"/>
          <w:szCs w:val="24"/>
        </w:rPr>
        <w:t>а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культуры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62588">
        <w:rPr>
          <w:rFonts w:ascii="Segoe UI" w:hAnsi="Segoe UI" w:cs="Segoe UI"/>
          <w:color w:val="000000"/>
          <w:sz w:val="24"/>
          <w:szCs w:val="24"/>
        </w:rPr>
        <w:t>построенные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по национальному проекту «Культура»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C866D2" w:rsidRDefault="00C866D2" w:rsidP="00C866D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Кроме того, стало больше одни</w:t>
      </w:r>
      <w:r w:rsidR="009D6311">
        <w:rPr>
          <w:rFonts w:ascii="Segoe UI" w:hAnsi="Segoe UI" w:cs="Segoe UI"/>
          <w:color w:val="000000"/>
          <w:sz w:val="24"/>
          <w:szCs w:val="24"/>
        </w:rPr>
        <w:t>м спортивно-оздоровительным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26E8A">
        <w:rPr>
          <w:rFonts w:ascii="Segoe UI" w:hAnsi="Segoe UI" w:cs="Segoe UI"/>
          <w:color w:val="000000"/>
          <w:sz w:val="24"/>
          <w:szCs w:val="24"/>
        </w:rPr>
        <w:t>комплексом в Набережных Челнах.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E0648C" w:rsidRPr="00202C30" w:rsidRDefault="00C42593" w:rsidP="00C866D2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0648C">
        <w:rPr>
          <w:rFonts w:ascii="Segoe UI" w:hAnsi="Segoe UI" w:cs="Segoe UI"/>
          <w:i/>
          <w:color w:val="000000"/>
          <w:sz w:val="24"/>
          <w:szCs w:val="24"/>
        </w:rPr>
        <w:t xml:space="preserve">«Идеально, когда строительство жилья ведется одновременно </w:t>
      </w:r>
      <w:r w:rsidR="0096660F" w:rsidRPr="00E0648C">
        <w:rPr>
          <w:rFonts w:ascii="Segoe UI" w:hAnsi="Segoe UI" w:cs="Segoe UI"/>
          <w:i/>
          <w:color w:val="000000"/>
          <w:sz w:val="24"/>
          <w:szCs w:val="24"/>
        </w:rPr>
        <w:t>со строительством социальной инфраструктуры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>, необходимой для создания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комфортных условий проживавния</w:t>
      </w:r>
      <w:r w:rsidRPr="00E0648C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>За прошлый год Росреестром Татарстана п</w:t>
      </w:r>
      <w:r w:rsidR="00A43106">
        <w:rPr>
          <w:rFonts w:ascii="Segoe UI" w:hAnsi="Segoe UI" w:cs="Segoe UI"/>
          <w:i/>
          <w:color w:val="000000"/>
          <w:sz w:val="24"/>
          <w:szCs w:val="24"/>
        </w:rPr>
        <w:t>оставлено на кадастровый учет 15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объектов социального значения.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Прежде чем ввести их в 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>эксплуатацию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необходимо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предварительно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>данные объекты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поставить на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>кадастровый учет и зарегистрировать пр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ава. Все эти процедуры нашим ведомством проводятся своевременно, при отсутствии замечаний, в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lastRenderedPageBreak/>
        <w:t xml:space="preserve">максимально сжатые сроки», - отметил врио </w:t>
      </w:r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заместителя руководителя Росреестра Татарстана Нияз Галиакбаров. </w:t>
      </w:r>
      <w:r w:rsidR="00E0648C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  </w:t>
      </w:r>
    </w:p>
    <w:p w:rsidR="00D6421F" w:rsidRPr="00062588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Что касается сельскохозяйственной деятельности, то в прошлом году Росреестр Татарстана поставил на</w:t>
      </w:r>
      <w:r w:rsidRPr="00473520">
        <w:rPr>
          <w:rFonts w:ascii="Segoe UI" w:hAnsi="Segoe UI" w:cs="Segoe UI"/>
          <w:color w:val="000000"/>
          <w:sz w:val="24"/>
          <w:szCs w:val="24"/>
        </w:rPr>
        <w:t xml:space="preserve"> кадастровый учет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62588">
        <w:rPr>
          <w:rFonts w:ascii="Segoe UI" w:hAnsi="Segoe UI" w:cs="Segoe UI"/>
          <w:color w:val="000000"/>
          <w:sz w:val="24"/>
          <w:szCs w:val="24"/>
        </w:rPr>
        <w:t xml:space="preserve">16 ферм. Самая большая – на 1795 голов - вблизи села Старая Салаусь Балтасинского района. Есть среди них мини-фермы и средние, молочные и те, которые разводят лошадей. Их развитием занимаются семьи или целые хозяйства.   </w:t>
      </w:r>
    </w:p>
    <w:p w:rsidR="00D6421F" w:rsidRPr="00162BE7" w:rsidRDefault="00D6421F" w:rsidP="00D6421F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062588">
        <w:rPr>
          <w:rFonts w:ascii="Segoe UI" w:hAnsi="Segoe UI" w:cs="Segoe UI"/>
          <w:color w:val="000000"/>
          <w:sz w:val="24"/>
          <w:szCs w:val="24"/>
        </w:rPr>
        <w:t>Также в 2022-м году Росреестром Татарстана поставлены на кадастровый учет 18 коровников, по три конюшни и телятника. Среди объектов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также есть дом птичника и пасечника, а также рыболоводческий комплекс, расположенный в Апастовском районе. Всего в прошлом году </w:t>
      </w:r>
      <w:r w:rsidRPr="000F466B">
        <w:rPr>
          <w:rFonts w:ascii="Segoe UI" w:hAnsi="Segoe UI" w:cs="Segoe UI"/>
          <w:color w:val="000000"/>
          <w:sz w:val="24"/>
          <w:szCs w:val="24"/>
        </w:rPr>
        <w:t>в Татарстане внесли в ЕГРН</w:t>
      </w:r>
      <w:r>
        <w:rPr>
          <w:rFonts w:ascii="Segoe UI" w:hAnsi="Segoe UI" w:cs="Segoe UI"/>
          <w:color w:val="000000"/>
          <w:sz w:val="24"/>
          <w:szCs w:val="24"/>
        </w:rPr>
        <w:t xml:space="preserve"> сведения о</w:t>
      </w:r>
      <w:r w:rsidRPr="000F466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62BE7">
        <w:rPr>
          <w:rFonts w:ascii="Segoe UI" w:hAnsi="Segoe UI" w:cs="Segoe UI"/>
          <w:b/>
          <w:color w:val="000000"/>
          <w:sz w:val="24"/>
          <w:szCs w:val="24"/>
        </w:rPr>
        <w:t xml:space="preserve">45 таких объектах. </w:t>
      </w:r>
    </w:p>
    <w:p w:rsidR="00D6421F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45C88"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r w:rsidRPr="00FE1485">
        <w:rPr>
          <w:rFonts w:ascii="Segoe UI" w:hAnsi="Segoe UI" w:cs="Segoe UI"/>
          <w:b/>
          <w:color w:val="000000"/>
          <w:sz w:val="24"/>
          <w:szCs w:val="24"/>
        </w:rPr>
        <w:t>Министерства сельского хозяйства РТ</w:t>
      </w:r>
      <w:r w:rsidRPr="00145C88">
        <w:rPr>
          <w:rFonts w:ascii="Segoe UI" w:hAnsi="Segoe UI" w:cs="Segoe UI"/>
          <w:color w:val="000000"/>
          <w:sz w:val="24"/>
          <w:szCs w:val="24"/>
        </w:rPr>
        <w:t>, в настоящее время в республике насчитывается 4011 крестьянско-фермерских хозяйств, в том числе 368 в Казани и Набережных Челнах.</w:t>
      </w:r>
    </w:p>
    <w:p w:rsidR="00D6421F" w:rsidRPr="00D869CB" w:rsidRDefault="00D869CB" w:rsidP="00D869C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D869CB">
        <w:rPr>
          <w:rFonts w:ascii="Segoe UI" w:hAnsi="Segoe UI" w:cs="Segoe UI"/>
          <w:i/>
          <w:color w:val="000000"/>
          <w:sz w:val="24"/>
          <w:szCs w:val="24"/>
        </w:rPr>
        <w:t xml:space="preserve"> «В республике традиционно особое отношение к сельскому укладу жизни, повышению деловой активности населения. Объем продукции сельского хозяйства по всем категориям хозяйств в прошлом г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оду составил 333,5 млрд рублей. Это </w:t>
      </w:r>
      <w:r w:rsidRPr="00D869CB">
        <w:rPr>
          <w:rFonts w:ascii="Segoe UI" w:hAnsi="Segoe UI" w:cs="Segoe UI"/>
          <w:i/>
          <w:color w:val="000000"/>
          <w:sz w:val="24"/>
          <w:szCs w:val="24"/>
        </w:rPr>
        <w:t>на 25,6%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больше</w:t>
      </w:r>
      <w:r w:rsidRPr="00D869CB">
        <w:rPr>
          <w:rFonts w:ascii="Segoe UI" w:hAnsi="Segoe UI" w:cs="Segoe UI"/>
          <w:i/>
          <w:color w:val="000000"/>
          <w:sz w:val="24"/>
          <w:szCs w:val="24"/>
        </w:rPr>
        <w:t xml:space="preserve">, чем годом ранее. Производство продукции в сельскохозяйственных организациях выросло на 41,6%, в фермерских хозяйствах – на 35,3%, в личных подсобных хозяйствах на – 3,9%», - отметил </w:t>
      </w:r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>первый заместитель министра сельского хозяйства и продовольствия Республики Татарстан Наиль Залаков.</w:t>
      </w:r>
    </w:p>
    <w:p w:rsidR="00D6421F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Росреестра Татарстана </w:t>
      </w: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255-25-80 – Галиуллина Галина</w:t>
      </w:r>
    </w:p>
    <w:p w:rsidR="00FE1485" w:rsidRPr="00DE7A1D" w:rsidRDefault="006C0404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FE1485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FE1485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44F28" w:rsidRDefault="00FE1485" w:rsidP="009E164B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644F28" w:rsidSect="0047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5F4B"/>
    <w:rsid w:val="00027592"/>
    <w:rsid w:val="00031814"/>
    <w:rsid w:val="00035768"/>
    <w:rsid w:val="0003598C"/>
    <w:rsid w:val="00046998"/>
    <w:rsid w:val="00054D61"/>
    <w:rsid w:val="000564F6"/>
    <w:rsid w:val="00062588"/>
    <w:rsid w:val="000833BE"/>
    <w:rsid w:val="00087FBF"/>
    <w:rsid w:val="00091AE9"/>
    <w:rsid w:val="00092723"/>
    <w:rsid w:val="00097BB4"/>
    <w:rsid w:val="000A23E1"/>
    <w:rsid w:val="000A48AD"/>
    <w:rsid w:val="000B7DD7"/>
    <w:rsid w:val="000C20C7"/>
    <w:rsid w:val="000C2331"/>
    <w:rsid w:val="000D2E3A"/>
    <w:rsid w:val="000E2CA1"/>
    <w:rsid w:val="000E7F2A"/>
    <w:rsid w:val="000F4196"/>
    <w:rsid w:val="000F466B"/>
    <w:rsid w:val="000F5199"/>
    <w:rsid w:val="000F53D8"/>
    <w:rsid w:val="000F7DF3"/>
    <w:rsid w:val="00117FB4"/>
    <w:rsid w:val="00126971"/>
    <w:rsid w:val="0013588B"/>
    <w:rsid w:val="00137025"/>
    <w:rsid w:val="00145C88"/>
    <w:rsid w:val="0015245C"/>
    <w:rsid w:val="0015299A"/>
    <w:rsid w:val="001574A1"/>
    <w:rsid w:val="00162BE7"/>
    <w:rsid w:val="00184FA4"/>
    <w:rsid w:val="00185B1C"/>
    <w:rsid w:val="001905AA"/>
    <w:rsid w:val="001C2D0E"/>
    <w:rsid w:val="001D1A75"/>
    <w:rsid w:val="001D1BC1"/>
    <w:rsid w:val="001D5D20"/>
    <w:rsid w:val="001E5A7B"/>
    <w:rsid w:val="001F1FC3"/>
    <w:rsid w:val="00202C30"/>
    <w:rsid w:val="00203F40"/>
    <w:rsid w:val="00221889"/>
    <w:rsid w:val="00222F25"/>
    <w:rsid w:val="00247584"/>
    <w:rsid w:val="0026340B"/>
    <w:rsid w:val="00267625"/>
    <w:rsid w:val="00267A21"/>
    <w:rsid w:val="00282126"/>
    <w:rsid w:val="00283511"/>
    <w:rsid w:val="00284063"/>
    <w:rsid w:val="002A1F7C"/>
    <w:rsid w:val="002D5038"/>
    <w:rsid w:val="002E0E73"/>
    <w:rsid w:val="00330401"/>
    <w:rsid w:val="0033378D"/>
    <w:rsid w:val="0033528A"/>
    <w:rsid w:val="0033724F"/>
    <w:rsid w:val="00342764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D4D1F"/>
    <w:rsid w:val="003D5CA7"/>
    <w:rsid w:val="003E4226"/>
    <w:rsid w:val="003F75BF"/>
    <w:rsid w:val="0042202D"/>
    <w:rsid w:val="00442351"/>
    <w:rsid w:val="004453CD"/>
    <w:rsid w:val="00464840"/>
    <w:rsid w:val="00473520"/>
    <w:rsid w:val="004A1345"/>
    <w:rsid w:val="004B6BA7"/>
    <w:rsid w:val="004C19E7"/>
    <w:rsid w:val="004C3EE1"/>
    <w:rsid w:val="004C61BD"/>
    <w:rsid w:val="004E3D31"/>
    <w:rsid w:val="004E5F0A"/>
    <w:rsid w:val="004E76DB"/>
    <w:rsid w:val="00507728"/>
    <w:rsid w:val="00512714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2B75"/>
    <w:rsid w:val="005C3AE2"/>
    <w:rsid w:val="005E5542"/>
    <w:rsid w:val="005E583E"/>
    <w:rsid w:val="005F1A8A"/>
    <w:rsid w:val="0060321E"/>
    <w:rsid w:val="00611968"/>
    <w:rsid w:val="00611F58"/>
    <w:rsid w:val="006218CE"/>
    <w:rsid w:val="00636CBB"/>
    <w:rsid w:val="00644F28"/>
    <w:rsid w:val="00671E7B"/>
    <w:rsid w:val="006B189F"/>
    <w:rsid w:val="006C0404"/>
    <w:rsid w:val="006C0F1A"/>
    <w:rsid w:val="006C1EBB"/>
    <w:rsid w:val="006D1A11"/>
    <w:rsid w:val="00703732"/>
    <w:rsid w:val="00711AE2"/>
    <w:rsid w:val="00714B6C"/>
    <w:rsid w:val="007307C8"/>
    <w:rsid w:val="0073199E"/>
    <w:rsid w:val="007324A6"/>
    <w:rsid w:val="00737103"/>
    <w:rsid w:val="00742822"/>
    <w:rsid w:val="0074516E"/>
    <w:rsid w:val="00765FF1"/>
    <w:rsid w:val="007974B8"/>
    <w:rsid w:val="007A0F3B"/>
    <w:rsid w:val="007A1154"/>
    <w:rsid w:val="007A11AB"/>
    <w:rsid w:val="007A5BAF"/>
    <w:rsid w:val="007B4FF4"/>
    <w:rsid w:val="007D43BF"/>
    <w:rsid w:val="007E5E31"/>
    <w:rsid w:val="007E7891"/>
    <w:rsid w:val="007F5F18"/>
    <w:rsid w:val="007F7BEC"/>
    <w:rsid w:val="0080062F"/>
    <w:rsid w:val="00801F30"/>
    <w:rsid w:val="008059AA"/>
    <w:rsid w:val="008201B5"/>
    <w:rsid w:val="00832CEA"/>
    <w:rsid w:val="008333C1"/>
    <w:rsid w:val="008411BB"/>
    <w:rsid w:val="00843614"/>
    <w:rsid w:val="00847AAB"/>
    <w:rsid w:val="008A4838"/>
    <w:rsid w:val="008C04E1"/>
    <w:rsid w:val="008C0E4A"/>
    <w:rsid w:val="008C49E7"/>
    <w:rsid w:val="008C4B11"/>
    <w:rsid w:val="008D1594"/>
    <w:rsid w:val="008F24EC"/>
    <w:rsid w:val="008F47FC"/>
    <w:rsid w:val="00912F7C"/>
    <w:rsid w:val="00913662"/>
    <w:rsid w:val="00913D05"/>
    <w:rsid w:val="00914DDB"/>
    <w:rsid w:val="009268F6"/>
    <w:rsid w:val="00933547"/>
    <w:rsid w:val="00955576"/>
    <w:rsid w:val="009620D9"/>
    <w:rsid w:val="0096660F"/>
    <w:rsid w:val="009673E5"/>
    <w:rsid w:val="00970DBE"/>
    <w:rsid w:val="00984937"/>
    <w:rsid w:val="00986819"/>
    <w:rsid w:val="00986F47"/>
    <w:rsid w:val="009A4BFB"/>
    <w:rsid w:val="009B2903"/>
    <w:rsid w:val="009B6F55"/>
    <w:rsid w:val="009B742D"/>
    <w:rsid w:val="009C48AD"/>
    <w:rsid w:val="009D6311"/>
    <w:rsid w:val="009E164B"/>
    <w:rsid w:val="009F7186"/>
    <w:rsid w:val="00A02AD6"/>
    <w:rsid w:val="00A06B9F"/>
    <w:rsid w:val="00A12F8D"/>
    <w:rsid w:val="00A14B5E"/>
    <w:rsid w:val="00A26BB6"/>
    <w:rsid w:val="00A27980"/>
    <w:rsid w:val="00A429D7"/>
    <w:rsid w:val="00A43106"/>
    <w:rsid w:val="00A45EBF"/>
    <w:rsid w:val="00A50293"/>
    <w:rsid w:val="00A555E9"/>
    <w:rsid w:val="00A75D43"/>
    <w:rsid w:val="00A83707"/>
    <w:rsid w:val="00A94BAB"/>
    <w:rsid w:val="00A97D6A"/>
    <w:rsid w:val="00AA0F81"/>
    <w:rsid w:val="00AB0750"/>
    <w:rsid w:val="00AC0996"/>
    <w:rsid w:val="00AC59E9"/>
    <w:rsid w:val="00AD5635"/>
    <w:rsid w:val="00AD6F42"/>
    <w:rsid w:val="00AD79CA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674D"/>
    <w:rsid w:val="00BA53A7"/>
    <w:rsid w:val="00BC30B3"/>
    <w:rsid w:val="00BD53FD"/>
    <w:rsid w:val="00BD5815"/>
    <w:rsid w:val="00BE4703"/>
    <w:rsid w:val="00BE4D9D"/>
    <w:rsid w:val="00BE5A64"/>
    <w:rsid w:val="00BF1349"/>
    <w:rsid w:val="00C20CD6"/>
    <w:rsid w:val="00C24934"/>
    <w:rsid w:val="00C278C7"/>
    <w:rsid w:val="00C323AC"/>
    <w:rsid w:val="00C42593"/>
    <w:rsid w:val="00C447F9"/>
    <w:rsid w:val="00C66742"/>
    <w:rsid w:val="00C70409"/>
    <w:rsid w:val="00C84D47"/>
    <w:rsid w:val="00C862B5"/>
    <w:rsid w:val="00C866D2"/>
    <w:rsid w:val="00C9442C"/>
    <w:rsid w:val="00CB49BE"/>
    <w:rsid w:val="00CC0605"/>
    <w:rsid w:val="00CD0111"/>
    <w:rsid w:val="00CD3D30"/>
    <w:rsid w:val="00CD3F1D"/>
    <w:rsid w:val="00CD5C77"/>
    <w:rsid w:val="00D1314A"/>
    <w:rsid w:val="00D13C40"/>
    <w:rsid w:val="00D201D1"/>
    <w:rsid w:val="00D202E7"/>
    <w:rsid w:val="00D22345"/>
    <w:rsid w:val="00D300D0"/>
    <w:rsid w:val="00D508CF"/>
    <w:rsid w:val="00D54524"/>
    <w:rsid w:val="00D6421F"/>
    <w:rsid w:val="00D65CDE"/>
    <w:rsid w:val="00D66D48"/>
    <w:rsid w:val="00D8271F"/>
    <w:rsid w:val="00D84A86"/>
    <w:rsid w:val="00D869CB"/>
    <w:rsid w:val="00D93171"/>
    <w:rsid w:val="00D945C6"/>
    <w:rsid w:val="00D95258"/>
    <w:rsid w:val="00DD063B"/>
    <w:rsid w:val="00DD6492"/>
    <w:rsid w:val="00DD7C07"/>
    <w:rsid w:val="00DE49CB"/>
    <w:rsid w:val="00DE7A1D"/>
    <w:rsid w:val="00DF15E1"/>
    <w:rsid w:val="00DF63D9"/>
    <w:rsid w:val="00E012E1"/>
    <w:rsid w:val="00E0648C"/>
    <w:rsid w:val="00E07338"/>
    <w:rsid w:val="00E142B4"/>
    <w:rsid w:val="00E161A9"/>
    <w:rsid w:val="00E1688F"/>
    <w:rsid w:val="00E26E8A"/>
    <w:rsid w:val="00E32E0A"/>
    <w:rsid w:val="00E4081B"/>
    <w:rsid w:val="00E44939"/>
    <w:rsid w:val="00E97612"/>
    <w:rsid w:val="00EB20B8"/>
    <w:rsid w:val="00EB6141"/>
    <w:rsid w:val="00EB78D0"/>
    <w:rsid w:val="00ED5530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0A35"/>
    <w:rsid w:val="00F6275A"/>
    <w:rsid w:val="00F75A88"/>
    <w:rsid w:val="00F873EA"/>
    <w:rsid w:val="00F97977"/>
    <w:rsid w:val="00FA6D82"/>
    <w:rsid w:val="00FB0E02"/>
    <w:rsid w:val="00FB2A0E"/>
    <w:rsid w:val="00FB758A"/>
    <w:rsid w:val="00FE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229D-F37F-4288-9019-453D4A51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2023-02-13T11:22:00Z</cp:lastPrinted>
  <dcterms:created xsi:type="dcterms:W3CDTF">2023-02-16T16:25:00Z</dcterms:created>
  <dcterms:modified xsi:type="dcterms:W3CDTF">2023-02-20T11:24:00Z</dcterms:modified>
</cp:coreProperties>
</file>