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760553" w:rsidP="00C93C5D">
            <w:pPr>
              <w:spacing w:line="240" w:lineRule="atLeast"/>
              <w:jc w:val="center"/>
              <w:rPr>
                <w:b/>
              </w:rPr>
            </w:pPr>
            <w:r w:rsidRPr="00760553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760553" w:rsidP="00C93C5D">
      <w:pPr>
        <w:spacing w:line="240" w:lineRule="atLeast"/>
        <w:jc w:val="right"/>
        <w:rPr>
          <w:sz w:val="24"/>
          <w:szCs w:val="24"/>
        </w:rPr>
      </w:pPr>
      <w:r w:rsidRPr="00760553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760553" w:rsidP="00C93C5D">
      <w:pPr>
        <w:spacing w:line="240" w:lineRule="atLeast"/>
        <w:rPr>
          <w:sz w:val="24"/>
          <w:szCs w:val="24"/>
        </w:rPr>
      </w:pPr>
      <w:r w:rsidRPr="00760553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1036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107297">
        <w:rPr>
          <w:sz w:val="28"/>
          <w:szCs w:val="28"/>
        </w:rPr>
        <w:t>5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107297">
        <w:rPr>
          <w:b/>
          <w:bCs/>
          <w:sz w:val="28"/>
          <w:szCs w:val="28"/>
        </w:rPr>
        <w:t>Бирюлинского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107297">
        <w:rPr>
          <w:b/>
          <w:bCs/>
          <w:sz w:val="28"/>
          <w:szCs w:val="28"/>
        </w:rPr>
        <w:t>третьего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107297">
        <w:rPr>
          <w:b/>
          <w:bCs/>
          <w:sz w:val="28"/>
          <w:szCs w:val="28"/>
        </w:rPr>
        <w:t>Бирюлинскому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107297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107297">
        <w:rPr>
          <w:bCs/>
          <w:sz w:val="28"/>
          <w:szCs w:val="28"/>
        </w:rPr>
        <w:t>Бирюлинского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072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FE3D61">
        <w:rPr>
          <w:bCs/>
          <w:sz w:val="28"/>
          <w:szCs w:val="28"/>
        </w:rPr>
        <w:t>Б</w:t>
      </w:r>
      <w:r w:rsidR="00107297">
        <w:rPr>
          <w:bCs/>
          <w:sz w:val="28"/>
          <w:szCs w:val="28"/>
        </w:rPr>
        <w:t>ирюлинского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072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80552E">
        <w:rPr>
          <w:b/>
          <w:bCs/>
          <w:sz w:val="28"/>
          <w:szCs w:val="28"/>
        </w:rPr>
        <w:t>Хазиева Аделя Алмасовича</w:t>
      </w:r>
      <w:r>
        <w:rPr>
          <w:bCs/>
          <w:sz w:val="28"/>
          <w:szCs w:val="28"/>
        </w:rPr>
        <w:t>, как получивш</w:t>
      </w:r>
      <w:r w:rsidR="00E70D36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E627A8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E627A8">
        <w:rPr>
          <w:sz w:val="24"/>
          <w:szCs w:val="24"/>
        </w:rPr>
        <w:t xml:space="preserve"> </w:t>
      </w:r>
      <w:r w:rsidR="00E627A8">
        <w:rPr>
          <w:sz w:val="28"/>
          <w:szCs w:val="28"/>
        </w:rPr>
        <w:t>р</w:t>
      </w:r>
      <w:r w:rsidR="00E627A8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E627A8">
        <w:rPr>
          <w:sz w:val="28"/>
          <w:szCs w:val="28"/>
        </w:rPr>
        <w:t xml:space="preserve"> </w:t>
      </w:r>
      <w:r w:rsidR="00E627A8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77" w:rsidRDefault="003F4F77" w:rsidP="00BF2FE4">
      <w:r>
        <w:separator/>
      </w:r>
    </w:p>
  </w:endnote>
  <w:endnote w:type="continuationSeparator" w:id="1">
    <w:p w:rsidR="003F4F77" w:rsidRDefault="003F4F77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77" w:rsidRDefault="003F4F77" w:rsidP="00BF2FE4">
      <w:r>
        <w:separator/>
      </w:r>
    </w:p>
  </w:footnote>
  <w:footnote w:type="continuationSeparator" w:id="1">
    <w:p w:rsidR="003F4F77" w:rsidRDefault="003F4F77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B1F1C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3F4F77"/>
    <w:rsid w:val="00426D1B"/>
    <w:rsid w:val="00494644"/>
    <w:rsid w:val="004B0C1F"/>
    <w:rsid w:val="004C0D10"/>
    <w:rsid w:val="004D3945"/>
    <w:rsid w:val="0057358B"/>
    <w:rsid w:val="005A595E"/>
    <w:rsid w:val="005D5237"/>
    <w:rsid w:val="0060207C"/>
    <w:rsid w:val="006065C7"/>
    <w:rsid w:val="00626678"/>
    <w:rsid w:val="00647F6D"/>
    <w:rsid w:val="0066349D"/>
    <w:rsid w:val="00674D7A"/>
    <w:rsid w:val="006C1B66"/>
    <w:rsid w:val="006C2B40"/>
    <w:rsid w:val="006D053F"/>
    <w:rsid w:val="006F082F"/>
    <w:rsid w:val="00712476"/>
    <w:rsid w:val="00760553"/>
    <w:rsid w:val="0078656B"/>
    <w:rsid w:val="007B032A"/>
    <w:rsid w:val="00800B0E"/>
    <w:rsid w:val="0080552E"/>
    <w:rsid w:val="00807149"/>
    <w:rsid w:val="0081036C"/>
    <w:rsid w:val="00814794"/>
    <w:rsid w:val="00846A65"/>
    <w:rsid w:val="008A0DF9"/>
    <w:rsid w:val="008B78E3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97024"/>
    <w:rsid w:val="00CE38D1"/>
    <w:rsid w:val="00CE6D88"/>
    <w:rsid w:val="00CF1AF3"/>
    <w:rsid w:val="00D53385"/>
    <w:rsid w:val="00D6265E"/>
    <w:rsid w:val="00D86950"/>
    <w:rsid w:val="00DB0836"/>
    <w:rsid w:val="00DD06CF"/>
    <w:rsid w:val="00DE6936"/>
    <w:rsid w:val="00E4702D"/>
    <w:rsid w:val="00E627A8"/>
    <w:rsid w:val="00E70D36"/>
    <w:rsid w:val="00EA5169"/>
    <w:rsid w:val="00EC5E55"/>
    <w:rsid w:val="00EC7E05"/>
    <w:rsid w:val="00F72467"/>
    <w:rsid w:val="00FA38E8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6</cp:revision>
  <cp:lastPrinted>2022-03-13T18:41:00Z</cp:lastPrinted>
  <dcterms:created xsi:type="dcterms:W3CDTF">2022-09-11T13:02:00Z</dcterms:created>
  <dcterms:modified xsi:type="dcterms:W3CDTF">2022-09-12T07:20:00Z</dcterms:modified>
</cp:coreProperties>
</file>