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76" w:rsidRDefault="009A1276" w:rsidP="0049680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-243840</wp:posOffset>
            </wp:positionV>
            <wp:extent cx="1095375" cy="1238250"/>
            <wp:effectExtent l="19050" t="0" r="9525" b="0"/>
            <wp:wrapTight wrapText="bothSides">
              <wp:wrapPolygon edited="0">
                <wp:start x="9767" y="0"/>
                <wp:lineTo x="4883" y="1994"/>
                <wp:lineTo x="3005" y="3655"/>
                <wp:lineTo x="3005" y="6314"/>
                <wp:lineTo x="8264" y="10634"/>
                <wp:lineTo x="3381" y="11963"/>
                <wp:lineTo x="3381" y="15618"/>
                <wp:lineTo x="-376" y="15951"/>
                <wp:lineTo x="-376" y="16948"/>
                <wp:lineTo x="1878" y="21268"/>
                <wp:lineTo x="19910" y="21268"/>
                <wp:lineTo x="19910" y="21268"/>
                <wp:lineTo x="21788" y="17280"/>
                <wp:lineTo x="21788" y="16283"/>
                <wp:lineTo x="21412" y="15618"/>
                <wp:lineTo x="14275" y="10634"/>
                <wp:lineTo x="18407" y="6978"/>
                <wp:lineTo x="19158" y="3988"/>
                <wp:lineTo x="16904" y="1994"/>
                <wp:lineTo x="12021" y="0"/>
                <wp:lineTo x="9767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089" w:rsidRDefault="00444089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444089" w:rsidRDefault="00444089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297AAF" w:rsidRDefault="00CA32D1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</w:t>
      </w:r>
      <w:r w:rsidR="00185834">
        <w:rPr>
          <w:rFonts w:ascii="Segoe UI" w:hAnsi="Segoe UI" w:cs="Segoe UI"/>
          <w:b/>
          <w:sz w:val="32"/>
          <w:szCs w:val="32"/>
        </w:rPr>
        <w:t xml:space="preserve">очему </w:t>
      </w:r>
      <w:r>
        <w:rPr>
          <w:rFonts w:ascii="Segoe UI" w:hAnsi="Segoe UI" w:cs="Segoe UI"/>
          <w:b/>
          <w:sz w:val="32"/>
          <w:szCs w:val="32"/>
        </w:rPr>
        <w:t xml:space="preserve">при оформлении недвижимости </w:t>
      </w:r>
      <w:r w:rsidR="00576A2D">
        <w:rPr>
          <w:rFonts w:ascii="Segoe UI" w:hAnsi="Segoe UI" w:cs="Segoe UI"/>
          <w:b/>
          <w:sz w:val="32"/>
          <w:szCs w:val="32"/>
        </w:rPr>
        <w:t xml:space="preserve">госпошлину </w:t>
      </w:r>
      <w:r w:rsidR="00185834">
        <w:rPr>
          <w:rFonts w:ascii="Segoe UI" w:hAnsi="Segoe UI" w:cs="Segoe UI"/>
          <w:b/>
          <w:sz w:val="32"/>
          <w:szCs w:val="32"/>
        </w:rPr>
        <w:t xml:space="preserve">нужно </w:t>
      </w:r>
      <w:r w:rsidR="002832B2">
        <w:rPr>
          <w:rFonts w:ascii="Segoe UI" w:hAnsi="Segoe UI" w:cs="Segoe UI"/>
          <w:b/>
          <w:sz w:val="32"/>
          <w:szCs w:val="32"/>
        </w:rPr>
        <w:t xml:space="preserve">уплачивать </w:t>
      </w:r>
      <w:r w:rsidR="00185834">
        <w:rPr>
          <w:rFonts w:ascii="Segoe UI" w:hAnsi="Segoe UI" w:cs="Segoe UI"/>
          <w:b/>
          <w:sz w:val="32"/>
          <w:szCs w:val="32"/>
        </w:rPr>
        <w:t>вовремя</w:t>
      </w:r>
      <w:r w:rsidR="002E5445">
        <w:rPr>
          <w:rFonts w:ascii="Segoe UI" w:hAnsi="Segoe UI" w:cs="Segoe UI"/>
          <w:b/>
          <w:sz w:val="32"/>
          <w:szCs w:val="32"/>
        </w:rPr>
        <w:t xml:space="preserve"> </w:t>
      </w:r>
    </w:p>
    <w:p w:rsidR="00576A2D" w:rsidRDefault="00576A2D" w:rsidP="00AD3A94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AD3A94" w:rsidRDefault="00C634F1" w:rsidP="00AD3A94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</w:t>
      </w:r>
      <w:proofErr w:type="spellStart"/>
      <w:r w:rsidRPr="00CA32D1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Росреестр</w:t>
      </w:r>
      <w:proofErr w:type="spellEnd"/>
      <w:r w:rsidRPr="00CA32D1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Татарстана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регулярно поступают обращения от граждан, которые спрашивают: почему документы для оформления 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прав на недвижимость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поданы, а в регистрирующем органе их даже не стали рассматривать. </w:t>
      </w:r>
    </w:p>
    <w:p w:rsidR="00C634F1" w:rsidRDefault="00C634F1" w:rsidP="00AD3A94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Причин</w:t>
      </w:r>
      <w:r w:rsidR="003F36A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ы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для возврата документов без рассмотрения</w:t>
      </w:r>
      <w:r w:rsidR="003F36A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могут быть разные. </w:t>
      </w:r>
      <w:r w:rsid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Однако одна из часто </w:t>
      </w:r>
      <w:proofErr w:type="gramStart"/>
      <w:r w:rsid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вс</w:t>
      </w:r>
      <w:r w:rsidR="001B6C6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тречающихся</w:t>
      </w:r>
      <w:proofErr w:type="gramEnd"/>
      <w:r w:rsidR="001B6C6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– это несвоевременная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у</w:t>
      </w:r>
      <w:r w:rsid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плата гос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ударственной </w:t>
      </w:r>
      <w:r w:rsid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пошлины. </w:t>
      </w:r>
    </w:p>
    <w:p w:rsidR="00260E0B" w:rsidRDefault="00CF4AC2" w:rsidP="00642266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За государственную регистрацию права законодательством предусмотрена необходимость у</w:t>
      </w:r>
      <w:r w:rsidR="00D2290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платить госпошлину, размер которой определен Налоговым кодексом РФ.</w:t>
      </w:r>
      <w:r w:rsidR="00665C77"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642266" w:rsidRDefault="001B6C64" w:rsidP="00642266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Как пояснила </w:t>
      </w:r>
      <w:r w:rsidRPr="00260E0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эксперт </w:t>
      </w:r>
      <w:proofErr w:type="spellStart"/>
      <w:r w:rsidRPr="00260E0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260E0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Татарстана </w:t>
      </w:r>
      <w:proofErr w:type="spellStart"/>
      <w:r w:rsidRPr="00260E0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Эндже</w:t>
      </w:r>
      <w:proofErr w:type="spellEnd"/>
      <w:r w:rsidRPr="00260E0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Pr="00260E0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Мухаметгали</w:t>
      </w:r>
      <w:r w:rsidR="00CF4AC2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е</w:t>
      </w:r>
      <w:r w:rsidRPr="00260E0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ва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уплатить  госпошлину можно как до, так и во время и</w:t>
      </w:r>
      <w:r w:rsidR="00D2290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ли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665C77"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после подачи заявления </w:t>
      </w:r>
      <w:r w:rsidR="00D2290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и документов на регистрацию</w:t>
      </w:r>
      <w:r w:rsidR="00665C77"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права собственности.</w:t>
      </w:r>
      <w:r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Но е</w:t>
      </w:r>
      <w:r w:rsidR="00642266"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сли в Государственной информационной системе о государственных и</w:t>
      </w:r>
      <w:r w:rsidR="00642266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муниципальных платежах </w:t>
      </w:r>
      <w:r w:rsidR="00D2290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на момент</w:t>
      </w:r>
      <w:r w:rsidR="00260E0B"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принятия к рассмотрению 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государственным регистратором </w:t>
      </w:r>
      <w:r w:rsidR="00260E0B"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прав </w:t>
      </w:r>
      <w:r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документов будет отсутствовать</w:t>
      </w:r>
      <w:r w:rsidR="00642266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инфо</w:t>
      </w:r>
      <w:r w:rsidR="00665C7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рмация об уплате гос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пошлины, а </w:t>
      </w:r>
      <w:r w:rsid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квитанция об 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её </w:t>
      </w:r>
      <w:r w:rsid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у</w:t>
      </w:r>
      <w:r w:rsidR="00260E0B"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плате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не будет</w:t>
      </w:r>
      <w:r w:rsidR="00642266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представлен</w:t>
      </w:r>
      <w:r w:rsid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заявителем</w:t>
      </w:r>
      <w:r w:rsidR="00665C7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то </w:t>
      </w:r>
      <w:r w:rsidR="00642266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весь пакет документов </w:t>
      </w:r>
      <w:r w:rsidR="00260E0B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 истечении </w:t>
      </w:r>
      <w:r w:rsid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5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рабочих</w:t>
      </w:r>
      <w:r w:rsidR="00260E0B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дней </w:t>
      </w:r>
      <w:proofErr w:type="gramStart"/>
      <w:r w:rsidR="00260E0B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 даты</w:t>
      </w:r>
      <w:proofErr w:type="gramEnd"/>
      <w:r w:rsidR="00260E0B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его подачи </w:t>
      </w:r>
      <w:r w:rsidR="003F36A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должен быть </w:t>
      </w:r>
      <w:r w:rsid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возвращен</w:t>
      </w:r>
      <w:r w:rsidR="00642266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заявителю без рассмотрения</w:t>
      </w:r>
      <w:r w:rsid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!</w:t>
      </w:r>
      <w:r w:rsidR="00642266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Указанный порядок распространяется и на случаи, когда государственная пошлина уплачена не в полном размере.</w:t>
      </w:r>
    </w:p>
    <w:p w:rsidR="00DF2EB8" w:rsidRDefault="00DF2EB8" w:rsidP="00642266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Также необходимо иметь в виду,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что если заявитель госпошлину у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платил, но документы уже воз</w:t>
      </w:r>
      <w:r w:rsidR="00D54DF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вращены, то чтобы продолжить учетно-регистрационные действия, необходимо будет подать документы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заново. </w:t>
      </w:r>
    </w:p>
    <w:p w:rsidR="003F36AB" w:rsidRPr="00DF2EB8" w:rsidRDefault="003F36AB" w:rsidP="00DF2EB8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DF2EB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случае если заявитель, наоборот,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уплатил госпошлину</w:t>
      </w:r>
      <w:r w:rsidRPr="00AD3A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 в большем размере, чем это предусмотрено законодательством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r w:rsidRPr="00DF2EB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то лишняя сумма подлежит возврату. </w:t>
      </w:r>
    </w:p>
    <w:p w:rsidR="003F36AB" w:rsidRDefault="003F36AB" w:rsidP="003F36A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DF2EB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Основание для возврата излишне уплаченной пошлины — заявление плательщика или его представителя по доверенности. К заявлению о возврате нужно приложить подлинные платежные документы, если пошлина подлежит возврату в полном размере. Если она подлежит возврату частично — копии платежных документов.</w:t>
      </w:r>
    </w:p>
    <w:p w:rsidR="00D22907" w:rsidRPr="00D22907" w:rsidRDefault="00D22907" w:rsidP="00D22907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proofErr w:type="gramStart"/>
      <w:r w:rsidRPr="00D2290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Важно знать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что в случае принятия государственным регистратором прав решения об отказе в государственной регистрации (не путать с возвратом или приостановлением!), уплаченная сумма госпошлины не возвращается, а при подаче заявления о прекращении регистрации права заявитель может вернуть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lastRenderedPageBreak/>
        <w:t>половину уплаченной суммы или использовать её при последующем обращении за государственной регистрацией прав в течение трех лет.</w:t>
      </w:r>
      <w:proofErr w:type="gramEnd"/>
    </w:p>
    <w:p w:rsidR="00712648" w:rsidRPr="00AD3A94" w:rsidRDefault="00712648" w:rsidP="00712648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AD3A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Размер госпошлины можно уменьшить, если подать документы  в электронном виде. При этом важно иметь в виду, что указанным преимуществом могут воспользоваться только физические лица. На юридических лиц данная норма не распространяется. Так, для физических лиц размер госпошлины за регистрацию права  собственности</w:t>
      </w:r>
      <w:r w:rsid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 например</w:t>
      </w:r>
      <w:proofErr w:type="gramStart"/>
      <w:r w:rsid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proofErr w:type="gramEnd"/>
      <w:r w:rsidRPr="00AD3A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квартиры</w:t>
      </w:r>
      <w:r w:rsid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r w:rsidRPr="00AD3A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составит 1400 рублей вместо 2000.</w:t>
      </w:r>
    </w:p>
    <w:p w:rsidR="00385628" w:rsidRDefault="00385628" w:rsidP="003F36AB">
      <w:pPr>
        <w:spacing w:line="240" w:lineRule="atLeast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также напоминают, что с 2021 года </w:t>
      </w:r>
      <w:r w:rsidR="00712648" w:rsidRPr="0071264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государственная пошлина за регистрацию ранее возникших прав на объекты недвижимости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(прав, зарегистрированных до 31.01.1998г.) </w:t>
      </w:r>
      <w:r w:rsidR="00712648" w:rsidRPr="0071264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не уплачивается</w:t>
      </w:r>
      <w:r w:rsidR="0071264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</w:p>
    <w:p w:rsidR="00D54DF1" w:rsidRPr="003F36AB" w:rsidRDefault="00D54DF1" w:rsidP="00D54DF1">
      <w:pPr>
        <w:spacing w:line="240" w:lineRule="atLeast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  <w:r w:rsidRPr="003F36A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К сведению</w:t>
      </w:r>
    </w:p>
    <w:p w:rsidR="00D54DF1" w:rsidRPr="0015064A" w:rsidRDefault="00D54DF1" w:rsidP="00D54DF1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</w:t>
      </w:r>
      <w:r w:rsidRPr="0015064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ся необх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одимая информация по госпошлине</w:t>
      </w:r>
      <w:r w:rsidRPr="0015064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размещена на официальном сайте </w:t>
      </w:r>
      <w:proofErr w:type="spellStart"/>
      <w:r w:rsidRPr="0015064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15064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</w:t>
      </w:r>
      <w:proofErr w:type="spellStart"/>
      <w:r w:rsidRPr="0015064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rosreestr.tatarstan.ru</w:t>
      </w:r>
      <w:proofErr w:type="spellEnd"/>
      <w:r w:rsidRPr="0015064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 разделе Деятельность – Для граждан и организаций – Госпошлина.</w:t>
      </w:r>
    </w:p>
    <w:p w:rsidR="003F36AB" w:rsidRPr="00AD3A94" w:rsidRDefault="003F36AB" w:rsidP="003F36A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3F36AB" w:rsidRDefault="003F36AB" w:rsidP="003F36A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362E9F" w:rsidRDefault="00362E9F" w:rsidP="003F36A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362E9F" w:rsidRDefault="00362E9F" w:rsidP="003F36A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362E9F" w:rsidRPr="00AD3A94" w:rsidRDefault="00362E9F" w:rsidP="003F36A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3F36AB" w:rsidRPr="0004206F" w:rsidRDefault="003F36AB" w:rsidP="003F36AB">
      <w:pPr>
        <w:spacing w:line="240" w:lineRule="atLeast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</w:p>
    <w:p w:rsidR="00520039" w:rsidRDefault="0052003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520039" w:rsidRDefault="0052003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520039" w:rsidRDefault="0052003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4C5679" w:rsidRDefault="004C567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4C5679" w:rsidRDefault="004C567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4C5679" w:rsidRDefault="004C567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4C5679" w:rsidRDefault="004C567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4C5679" w:rsidRDefault="004C567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4C5679" w:rsidRDefault="004C567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4C5679" w:rsidRDefault="004C567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CA32D1" w:rsidRDefault="00CA32D1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8F68D3" w:rsidRPr="00444089" w:rsidRDefault="008F68D3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  <w:r w:rsidRPr="00444089">
        <w:rPr>
          <w:rFonts w:ascii="Segoe UI" w:eastAsia="Times New Roman" w:hAnsi="Segoe UI" w:cs="Segoe UI"/>
          <w:b/>
        </w:rPr>
        <w:t>Контакты для СМИ</w:t>
      </w:r>
    </w:p>
    <w:p w:rsidR="008F68D3" w:rsidRPr="00362E9F" w:rsidRDefault="008F68D3" w:rsidP="008F68D3">
      <w:pPr>
        <w:spacing w:after="0" w:line="240" w:lineRule="auto"/>
        <w:jc w:val="right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Пресс-служба </w:t>
      </w:r>
      <w:proofErr w:type="spellStart"/>
      <w:r w:rsidRP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</w:t>
      </w:r>
    </w:p>
    <w:p w:rsidR="008F68D3" w:rsidRPr="00362E9F" w:rsidRDefault="008F68D3" w:rsidP="008F68D3">
      <w:pPr>
        <w:spacing w:after="0" w:line="240" w:lineRule="auto"/>
        <w:jc w:val="right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255-25-80 – </w:t>
      </w:r>
      <w:proofErr w:type="spellStart"/>
      <w:r w:rsidRP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Галиуллина</w:t>
      </w:r>
      <w:proofErr w:type="spellEnd"/>
      <w:r w:rsidRP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Галина</w:t>
      </w:r>
    </w:p>
    <w:p w:rsidR="008F68D3" w:rsidRPr="00362E9F" w:rsidRDefault="00FF56D4" w:rsidP="008F68D3">
      <w:pPr>
        <w:spacing w:after="0" w:line="240" w:lineRule="auto"/>
        <w:jc w:val="right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hyperlink r:id="rId6" w:history="1">
        <w:r w:rsidR="008F68D3" w:rsidRPr="00362E9F">
          <w:rPr>
            <w:rFonts w:ascii="Segoe UI" w:hAnsi="Segoe UI" w:cs="Segoe UI"/>
            <w:color w:val="000000"/>
            <w:sz w:val="24"/>
            <w:szCs w:val="24"/>
            <w:shd w:val="clear" w:color="auto" w:fill="FDFCFB"/>
          </w:rPr>
          <w:t>https://rosreestr.tatarstan.ru</w:t>
        </w:r>
      </w:hyperlink>
    </w:p>
    <w:p w:rsidR="0022075A" w:rsidRPr="00362E9F" w:rsidRDefault="00764C95" w:rsidP="00C841AF">
      <w:pPr>
        <w:spacing w:after="0" w:line="240" w:lineRule="auto"/>
        <w:jc w:val="right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                        </w:t>
      </w:r>
      <w:r w:rsidR="008F68D3" w:rsidRP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https://vk.com/rosreestr16                                                                                                                                 https://t.me/rosreestr_tatarstan </w:t>
      </w:r>
    </w:p>
    <w:sectPr w:rsidR="0022075A" w:rsidRPr="00362E9F" w:rsidSect="0044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6802"/>
    <w:rsid w:val="00027037"/>
    <w:rsid w:val="0004206F"/>
    <w:rsid w:val="0005552D"/>
    <w:rsid w:val="0006122D"/>
    <w:rsid w:val="00086330"/>
    <w:rsid w:val="0015064A"/>
    <w:rsid w:val="001519E4"/>
    <w:rsid w:val="00185834"/>
    <w:rsid w:val="001B6C64"/>
    <w:rsid w:val="001F09AC"/>
    <w:rsid w:val="001F1E9A"/>
    <w:rsid w:val="0022075A"/>
    <w:rsid w:val="002301C4"/>
    <w:rsid w:val="00235127"/>
    <w:rsid w:val="0023542C"/>
    <w:rsid w:val="00251F3B"/>
    <w:rsid w:val="00252D36"/>
    <w:rsid w:val="00260E0B"/>
    <w:rsid w:val="002832B2"/>
    <w:rsid w:val="00297AAF"/>
    <w:rsid w:val="002C5C3F"/>
    <w:rsid w:val="002E5445"/>
    <w:rsid w:val="00342A7B"/>
    <w:rsid w:val="00353DCF"/>
    <w:rsid w:val="00362E9F"/>
    <w:rsid w:val="00376F7F"/>
    <w:rsid w:val="003830CA"/>
    <w:rsid w:val="00385628"/>
    <w:rsid w:val="0039425B"/>
    <w:rsid w:val="003B6F65"/>
    <w:rsid w:val="003E3382"/>
    <w:rsid w:val="003F36AB"/>
    <w:rsid w:val="00420BF2"/>
    <w:rsid w:val="00424BE7"/>
    <w:rsid w:val="0043161C"/>
    <w:rsid w:val="00444089"/>
    <w:rsid w:val="00453F04"/>
    <w:rsid w:val="00477936"/>
    <w:rsid w:val="00496802"/>
    <w:rsid w:val="004A425C"/>
    <w:rsid w:val="004C5679"/>
    <w:rsid w:val="00520039"/>
    <w:rsid w:val="005325E5"/>
    <w:rsid w:val="0053425B"/>
    <w:rsid w:val="00543AA7"/>
    <w:rsid w:val="00576A2D"/>
    <w:rsid w:val="00586896"/>
    <w:rsid w:val="005A49F4"/>
    <w:rsid w:val="005B632C"/>
    <w:rsid w:val="005F15E0"/>
    <w:rsid w:val="005F476B"/>
    <w:rsid w:val="00632B10"/>
    <w:rsid w:val="00642266"/>
    <w:rsid w:val="006524AF"/>
    <w:rsid w:val="00665C77"/>
    <w:rsid w:val="00695CE2"/>
    <w:rsid w:val="0071087F"/>
    <w:rsid w:val="00712648"/>
    <w:rsid w:val="007171FE"/>
    <w:rsid w:val="00764C95"/>
    <w:rsid w:val="007B4B31"/>
    <w:rsid w:val="007C25AF"/>
    <w:rsid w:val="007E63DF"/>
    <w:rsid w:val="007F0CC8"/>
    <w:rsid w:val="00891C5F"/>
    <w:rsid w:val="008B46A2"/>
    <w:rsid w:val="008E58F6"/>
    <w:rsid w:val="008F68D3"/>
    <w:rsid w:val="00906D51"/>
    <w:rsid w:val="009536B7"/>
    <w:rsid w:val="00955304"/>
    <w:rsid w:val="0097188D"/>
    <w:rsid w:val="00972B8F"/>
    <w:rsid w:val="00983706"/>
    <w:rsid w:val="009860B2"/>
    <w:rsid w:val="00986EF7"/>
    <w:rsid w:val="009A1276"/>
    <w:rsid w:val="009A6AF5"/>
    <w:rsid w:val="00A8200B"/>
    <w:rsid w:val="00A85E10"/>
    <w:rsid w:val="00AA0C56"/>
    <w:rsid w:val="00AA6659"/>
    <w:rsid w:val="00AD3A94"/>
    <w:rsid w:val="00AF7CB5"/>
    <w:rsid w:val="00B11E82"/>
    <w:rsid w:val="00B3203C"/>
    <w:rsid w:val="00B345F3"/>
    <w:rsid w:val="00B8290D"/>
    <w:rsid w:val="00BC2CF1"/>
    <w:rsid w:val="00BE6FC4"/>
    <w:rsid w:val="00C17C2D"/>
    <w:rsid w:val="00C22B3C"/>
    <w:rsid w:val="00C634F1"/>
    <w:rsid w:val="00C63936"/>
    <w:rsid w:val="00C841AF"/>
    <w:rsid w:val="00C9094B"/>
    <w:rsid w:val="00CA32D1"/>
    <w:rsid w:val="00CF4AC2"/>
    <w:rsid w:val="00D12E28"/>
    <w:rsid w:val="00D22907"/>
    <w:rsid w:val="00D54DF1"/>
    <w:rsid w:val="00D858C8"/>
    <w:rsid w:val="00DB0025"/>
    <w:rsid w:val="00DC5764"/>
    <w:rsid w:val="00DE5D66"/>
    <w:rsid w:val="00DE7771"/>
    <w:rsid w:val="00DF2EB8"/>
    <w:rsid w:val="00E0646C"/>
    <w:rsid w:val="00E30189"/>
    <w:rsid w:val="00E32C44"/>
    <w:rsid w:val="00E32E2B"/>
    <w:rsid w:val="00E703F3"/>
    <w:rsid w:val="00E93F64"/>
    <w:rsid w:val="00E94937"/>
    <w:rsid w:val="00EC4733"/>
    <w:rsid w:val="00F11EFF"/>
    <w:rsid w:val="00F12E3C"/>
    <w:rsid w:val="00F8005B"/>
    <w:rsid w:val="00FD7B04"/>
    <w:rsid w:val="00FF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1B60E-56BC-4877-90B1-92F8D646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2022-08-03T11:10:00Z</cp:lastPrinted>
  <dcterms:created xsi:type="dcterms:W3CDTF">2022-08-09T11:43:00Z</dcterms:created>
  <dcterms:modified xsi:type="dcterms:W3CDTF">2022-08-09T11:43:00Z</dcterms:modified>
</cp:coreProperties>
</file>