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  <w:bookmarkStart w:id="0" w:name="_GoBack"/>
      <w:bookmarkEnd w:id="0"/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headerReference w:type="default" r:id="rId9"/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10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C71F0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«___» ___________201__г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___</w:t>
      </w: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3D5469" w:rsidRDefault="00F80969" w:rsidP="00F80969">
      <w:pPr>
        <w:autoSpaceDE w:val="0"/>
        <w:autoSpaceDN w:val="0"/>
        <w:adjustRightInd w:val="0"/>
        <w:ind w:right="4670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F80969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О принятии от органов местного самоуправления 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сельских поселений,</w:t>
      </w:r>
      <w:r w:rsidRPr="00F80969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входящих в состав Высокогорского муниципального района, </w:t>
      </w:r>
      <w:r w:rsidRPr="00F80969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полномочий по обеспечению проживающих в поселении и нуждающихся в жилых помещениях малоимущих граждан жилыми помещениями, по организации содержания муниципального жилищного фонда, по созданию условий для жилищного строительства, а </w:t>
      </w:r>
      <w:r w:rsidR="00A75047" w:rsidRPr="00F80969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также</w:t>
      </w:r>
      <w:r w:rsidRPr="00F80969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 по осуществлению иных полномочий органов местного самоуправления в соответствии с жилищным законодательством</w:t>
      </w:r>
    </w:p>
    <w:p w:rsidR="00F80969" w:rsidRDefault="00F80969" w:rsidP="00F80969">
      <w:pPr>
        <w:autoSpaceDE w:val="0"/>
        <w:autoSpaceDN w:val="0"/>
        <w:adjustRightInd w:val="0"/>
        <w:ind w:right="4670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</w:p>
    <w:p w:rsidR="00F80969" w:rsidRDefault="00F80969" w:rsidP="00F80969">
      <w:pPr>
        <w:autoSpaceDE w:val="0"/>
        <w:autoSpaceDN w:val="0"/>
        <w:adjustRightInd w:val="0"/>
        <w:ind w:right="-7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ab/>
      </w:r>
      <w:r w:rsidRPr="00F8096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 соответствии с частью 4 статьи 15 Федерального закона от 6 октября 2003 года N131-ФЗ "Об общих принципах организации местного самоуправления в Российской Федерации"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, руководствуясь </w:t>
      </w:r>
      <w:r w:rsidRPr="00F8096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статьей 142.5 Бюджетного Кодекса Российской Федерации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, Уставом Высокогорского муниципального района </w:t>
      </w:r>
      <w:r w:rsidRPr="00F8096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и рассмотрев представленные решения Советов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сельских</w:t>
      </w:r>
      <w:r w:rsidRPr="00F8096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поселений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Высокогорского муниципального</w:t>
      </w:r>
      <w:r w:rsidRPr="00F8096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района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Республики Татарстан</w:t>
      </w:r>
      <w:r w:rsidRPr="00F8096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,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Совет Высокогорского</w:t>
      </w:r>
      <w:r w:rsidRPr="00F8096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муниципального района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,</w:t>
      </w:r>
    </w:p>
    <w:p w:rsidR="00F80969" w:rsidRDefault="00F80969" w:rsidP="00F80969">
      <w:pPr>
        <w:autoSpaceDE w:val="0"/>
        <w:autoSpaceDN w:val="0"/>
        <w:adjustRightInd w:val="0"/>
        <w:ind w:right="-7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F80969" w:rsidRDefault="00F80969" w:rsidP="00F80969">
      <w:pPr>
        <w:autoSpaceDE w:val="0"/>
        <w:autoSpaceDN w:val="0"/>
        <w:adjustRightInd w:val="0"/>
        <w:ind w:right="-7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F80969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РЕШИЛ:</w:t>
      </w:r>
    </w:p>
    <w:p w:rsidR="00F80969" w:rsidRDefault="00E96B1C" w:rsidP="00C229D8">
      <w:pPr>
        <w:autoSpaceDE w:val="0"/>
        <w:autoSpaceDN w:val="0"/>
        <w:adjustRightInd w:val="0"/>
        <w:ind w:right="-7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ab/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1. П</w:t>
      </w: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ринять передаваемые полномочия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органов местного самоуправления</w:t>
      </w: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C229D8" w:rsidRPr="00C229D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Айбашского, Альдермышского, Алан-Бексерского, Березкинского, Большековалинского, Большебитаманского, Бирюлинского, Высокогорского, Дачного, Дубъязского, Иске-Казанского, Казакларского, Красносельского, Куркачинского, Мемдельского, Мульминского, Семиозерского, Село-Алатского, Суксинского, Ташлы-Ковалинского, Усадского, Чернышевского, Чепчуговского, Шапшинского и Ямашурминского сельского поселения Высокогорского муниципального района Республики Татарстан</w:t>
      </w: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по обеспечению проживающих в поселении и нуждающихся в жилых помещениях малоимущих граждан жилыми помещениями, по организации содержания муниципального жилищного фонда, по созданию условий для жилищного строительства, а так же по осуществлению иных </w:t>
      </w: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lastRenderedPageBreak/>
        <w:t>полномочий органов местного самоуправления в соответствии с жилищным законодательством:</w:t>
      </w:r>
    </w:p>
    <w:p w:rsidR="00E96B1C" w:rsidRPr="00E96B1C" w:rsidRDefault="00E96B1C" w:rsidP="00E96B1C">
      <w:pPr>
        <w:autoSpaceDE w:val="0"/>
        <w:autoSpaceDN w:val="0"/>
        <w:adjustRightInd w:val="0"/>
        <w:ind w:right="-7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</w: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1.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</w:t>
      </w: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 В области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законодательством: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утверждение нормы предоставления площади жилого помещения;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утверждение решения об установлении размера дохода для признания граждан малоимущими;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утверждение порядка признания граждан малоимущими в целях постановки на учет и предоставления малоимущим гражданам, признанным нуждающимися в жилом помещении.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принятие решения о создании жилищной комиссии;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утверждение положения, состава жилищной комиссии о признании граждан малоимущими;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принятие решения о создании комиссии о признании граждан малоимущими;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утверждение положения, состава комиссии о признании граждан малоимущими;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утверждение решения о создании комиссии о признании граждан в качестве нуждающихся в жилых помещениях;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утверждение положения, состава комиссии о признании граждан в качестве нуждающихся в жилых помещениях;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выполнение государственных полномочий, переданных "Поселением" на обеспечение малоимущих граждан, указанных в ч. 3 ст. 49 ЖК РФ, жилыми помещениями;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утверждение решения о признании граждан малоимущими;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утверждение решения о признании граждан в качестве нуждающихся в жилых помещениях;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утверждение решения о принятии или об отказе в принятии на учет в качестве нуждающихся в жилых помещениях;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учет малоимущих граждан, нуждающихся в жилых помещениях "Поселения";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ведение учетных дел граждан, нуждающихся в жилых помещениях "Поселения";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перерегистрация граждан, состоящих на учете в качестве нуждающихся в жилых помещениях;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утверждение решения о снятии граждан с регистрационного учета нуждающихся в жилых помещениях;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утверждение решения о предоставлении жилого помещения по договору социального найма гражданам, признанных в качестве нуждающихся в жилых помещениях;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утверждение решения о постановке на учет или снятии с учета нуждающихся в улучшении жилищных условий;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формирование и утверждение списков общей и льготной очередей (очереди по категориям льготников) Поселения;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- утверждение решения о замене гражданам жилых помещений, общая площадь которых на одного члена семьи превышает норму предоставления на жилое </w:t>
      </w: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lastRenderedPageBreak/>
        <w:t>помещение меньшее по общей площади;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проверка достоверности представленных в Исполком района сведений гражданами для обеспечения их жильем;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участие в государственных программах по обеспечению малоимущих граждан, проживающих на территории Поселения и нуждающихся в улучшении жилищных условий, жилыми помещениями;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консультирование граждан по жилищным вопросам, по вопросам участия в федеральных и краевых целевых программах по обеспечению малоимущих граждан, проживающих на территории Поселения и нуждающихся в улучшении жилищных условий, жилыми помещениями;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предоставление в отдел статистики и другие заинтересованные органы статистических и информационных отчетов о работе жилищной комиссии.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1.2. В области организации строительства и содержания муниципального жилищного фонда, создания условий для жилищного строительства: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разработка муниципальных программ с включением в нее подпрограмм в сфере строительства жилищного фонда для обеспечения малоимущих граждан жилыми помещениями, проживающих на территории Поселения и нуждающихся в улучшении жилищных условий;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сбор технических условий на подключение к инженерным сетям вновь проектируемых муниципальных объектов;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подготовка бюджетной заявки для включения затрат на выполнение изыскательских работ, работ по изготовлению проектно-сметной документации, строительных работ на территории Поселения в районный бюджет (республиканский, местный);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подготовка платежных документов по факту выполненных работ для предоставления в казначейства, агентства по строительству и ЖКХ администрации края;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размещение муниципального заказа на выбор организации, выполняющей инженерные изыскания для разработки проектно-сметной документации;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заключение, изменение, расторжение муниципального контракта, в интересах Поселения, на выполнение инженерных изысканий для разработки проектно-сметной документации;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направление результатов инженерных изысканий на государственную экспертизу;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размещение муниципального заказа на выбор организации, изготавливающей проектно-сметную документацию;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заключение, изменение, расторжение муниципального контракта, в интересах Поселения, на изготовление проектно-сметной документации;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размещение муниципального заказа на выбор организации, выполняющей строительные работы;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заключение, изменение, расторжение муниципального контракта, в интересах "Поселения", на выполнение строительных работ;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осуществление технического надзора за выполнением строительно-монтажных работ и приемка законченных объектов от подрядных строительных организаций;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lastRenderedPageBreak/>
        <w:t>- утверждение проектной документации;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направление проектной документации на государственную экспертизу;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обращение в суд за оспариванием отрицательного заключения государственной экспертизы;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направление в уполномоченный на осуществление государственного строительного надзора федеральный орган исполнительной власти, орган исполнительной власти субъекта РФ извещения о начале строительных работ;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осуществление контроля за ходом выполнения планов капитального строительства, сроков и качества выполнения строительно-монтажных работ, а также соответствия качества применяемых материалов, изделий, конструкций, утвержденной проектно-сметной документации, техническим условиям, нормам охраны труда;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принятие участия в рассмотрении возникающих в ходе строительства изменений проектных решений, оперативное решение вопросов по замене при необходимости материалов, изделий, конструкций (без снижения качества строительных работ), с проектной организацией;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изучение причин, вызывающих срывы сроков и ухудшения качества строительно-монтажных работ, принятие мер по их предупреждению и устранению;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осуществление технической приемки законченных строительно-монтажных работ и объектов, оформление необходимой технической документации;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принятие участия в работе комиссий по приемке строительных объектов и сдаче их в эксплуатацию по окончанию строительства;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осуществление контроля качества устранения строительными организациями недоделок, дефектов в установленные комиссией сроки;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ведение учета строительно-монтажных работ и подготовка необходимых данных для составления отчетности о выполнении планов капитального строительства;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осуществление оценки соответствия жилых помещений жилищного фонда Поселения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 января 2006 г. N 47;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подготовка заключения о признании помещений жилищного фонда Поселения пригодными (непригодными) для проживания граждан, а также многоквартирного дома аварийным и подлежащим сносу в соответствии с законодательством Российской Федерации;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подготовка решения о сносе жилых домов на основании заключения о признании жилого помещения непригодным для проживания и многоквартирного дома аварийным и подлежащим сносу, составленного межведомственной комиссией Исполком района по оценке жилых помещений;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подготовка плана сноса жилых домов, признанных в установленном порядке непригодными для проживания и расселения граждан в Поселении;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- заключение соглашения с гражданами, переселяющимися из жилых помещений, признанных в установленном порядке непригодными для проживания, о предоставлении и условиях предоставления гражданину другого жилого помещения, </w:t>
      </w: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lastRenderedPageBreak/>
        <w:t>взамен ранее занимаемого;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переселение граждан из жилищного фонда Поселения, признанного в установленном порядке непригодным для проживания.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1.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3</w:t>
      </w: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 В области организации содержания муниципального жилищного фонда: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предоставление гражданам по их запросам информации об установленных ценах и тарифах на услуги и работы по содержанию и ремонту многоквартирных домов и жилых помещений в них, о размерах оплаты в соответствии с этими ценами и тарифами, об объеме, о перечне и качестве оказываемых услуг и выполняемых работ, а также о ценах и тарифах на предоставляемые коммунальные услуги и размерах оплаты этих услуг;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проверка технического состояния муниципального жилищного фонда для разработки программ текущего и капитального ремонтов жилищного Поселения;</w:t>
      </w:r>
    </w:p>
    <w:p w:rsidR="00E96B1C" w:rsidRPr="00E96B1C" w:rsidRDefault="00E96B1C" w:rsidP="00E96B1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осуществление контроля за правильной эксплуатацией, текущим и капитальным ремонтом муниципального жилищного фонда Поселения.</w:t>
      </w:r>
    </w:p>
    <w:p w:rsidR="00E96B1C" w:rsidRPr="00E96B1C" w:rsidRDefault="00E96B1C" w:rsidP="00D85135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Наделить </w:t>
      </w:r>
      <w:r w:rsidR="00D85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исполнительный комитет Высокогорского</w:t>
      </w:r>
      <w:r w:rsidRPr="00E96B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полномочиями по заключению соглашений на исполнение Полномочий, указанных в пункте 1 настоящего решения, с органами местного самоуправления </w:t>
      </w:r>
      <w:r w:rsidR="00D85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сельских поселений</w:t>
      </w:r>
      <w:r w:rsidRPr="00E96B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E96B1C" w:rsidRPr="00E96B1C" w:rsidRDefault="00E96B1C" w:rsidP="00D851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Финансовые средства органов местного самоуправления </w:t>
      </w:r>
      <w:r w:rsidR="00D85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сельских поселений</w:t>
      </w:r>
      <w:r w:rsidRPr="00E96B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исполнение Полномочий предоставляются в соответствии с заключенными Соглашениями в виде иных межбюджетных трансфертов из бюджета муниципального образования </w:t>
      </w:r>
      <w:r w:rsidR="00D85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сельских поселений</w:t>
      </w:r>
      <w:r w:rsidRPr="00E96B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бюджет муниципального образования </w:t>
      </w:r>
      <w:r w:rsidR="00D85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Высокогорского </w:t>
      </w:r>
      <w:r w:rsidRPr="00E96B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</w:t>
      </w:r>
      <w:r w:rsidR="00D85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96B1C" w:rsidRPr="00E96B1C" w:rsidRDefault="00E96B1C" w:rsidP="00D851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Соглашения с </w:t>
      </w:r>
      <w:r w:rsidR="00D85135" w:rsidRPr="00E96B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органам</w:t>
      </w:r>
      <w:r w:rsidR="00D85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E96B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местного самоуправления </w:t>
      </w:r>
      <w:r w:rsidR="00D85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сельских поселений</w:t>
      </w:r>
      <w:r w:rsidRPr="00E96B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исполнение Полномочий распространяются на правоотношения, возникшие с 01 января 2017 года.</w:t>
      </w:r>
    </w:p>
    <w:p w:rsidR="00E96B1C" w:rsidRPr="00E96B1C" w:rsidRDefault="00E96B1C" w:rsidP="00D851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5. </w:t>
      </w:r>
      <w:r w:rsidR="00D85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Исполнительному комитету Высокогорского</w:t>
      </w:r>
      <w:r w:rsidRPr="00E96B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принять нормативные правовые акты, обеспечивающие реализацию настоящего решения.</w:t>
      </w:r>
    </w:p>
    <w:p w:rsidR="00E96B1C" w:rsidRDefault="00E96B1C" w:rsidP="00E96B1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96B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Настоящее решение вступает в силу со дня принятия, распространяется на правоотношения, возникшие с 01 января 2017 года по 31 декабря 20</w:t>
      </w:r>
      <w:r w:rsidR="00D85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E96B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года, и подлежит </w:t>
      </w:r>
      <w:r w:rsidR="00D85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обнародованию </w:t>
      </w:r>
      <w:r w:rsidR="00D85135" w:rsidRPr="00D85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путем размещения на официальном сайте Высокогорского муниципального района в информационно-телекоммуникационной сети Интернет по веб-адресу: http://vysokaya-gora.tatarstan.ru и на портале правовой информации Республики Татарстан: http://pravo.tatarstan.ru</w:t>
      </w:r>
      <w:r w:rsidRPr="00E96B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D85135" w:rsidRDefault="00D85135" w:rsidP="00D8513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85135" w:rsidRDefault="00D85135" w:rsidP="00D8513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Зам. председателя Совета,</w:t>
      </w:r>
    </w:p>
    <w:p w:rsidR="00D85135" w:rsidRPr="00E96B1C" w:rsidRDefault="00D85135" w:rsidP="00D8513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И.о. главы муниципального района                                                          А.Ш. Шакиров</w:t>
      </w:r>
    </w:p>
    <w:p w:rsidR="00F80969" w:rsidRPr="00F80969" w:rsidRDefault="00F80969" w:rsidP="00F80969">
      <w:pPr>
        <w:autoSpaceDE w:val="0"/>
        <w:autoSpaceDN w:val="0"/>
        <w:adjustRightInd w:val="0"/>
        <w:ind w:right="4670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FF4" w:rsidRDefault="008A3FF4">
      <w:r>
        <w:separator/>
      </w:r>
    </w:p>
  </w:endnote>
  <w:endnote w:type="continuationSeparator" w:id="0">
    <w:p w:rsidR="008A3FF4" w:rsidRDefault="008A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FF4" w:rsidRDefault="008A3FF4"/>
  </w:footnote>
  <w:footnote w:type="continuationSeparator" w:id="0">
    <w:p w:rsidR="008A3FF4" w:rsidRDefault="008A3F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9D8" w:rsidRDefault="00C229D8">
    <w:pPr>
      <w:pStyle w:val="a4"/>
    </w:pPr>
  </w:p>
  <w:p w:rsidR="00C229D8" w:rsidRDefault="00C229D8">
    <w:pPr>
      <w:pStyle w:val="a4"/>
    </w:pPr>
  </w:p>
  <w:p w:rsidR="00C229D8" w:rsidRDefault="00C229D8" w:rsidP="00C229D8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CA4"/>
    <w:rsid w:val="0010421D"/>
    <w:rsid w:val="001929DD"/>
    <w:rsid w:val="001A7829"/>
    <w:rsid w:val="00205A0B"/>
    <w:rsid w:val="00235874"/>
    <w:rsid w:val="00246F40"/>
    <w:rsid w:val="002A18CD"/>
    <w:rsid w:val="003D5469"/>
    <w:rsid w:val="00456F2F"/>
    <w:rsid w:val="0055469A"/>
    <w:rsid w:val="00562CA4"/>
    <w:rsid w:val="005C4EB7"/>
    <w:rsid w:val="00645A92"/>
    <w:rsid w:val="00645BDA"/>
    <w:rsid w:val="007356DD"/>
    <w:rsid w:val="00776320"/>
    <w:rsid w:val="00814B4E"/>
    <w:rsid w:val="008252BD"/>
    <w:rsid w:val="008A3FF4"/>
    <w:rsid w:val="00972534"/>
    <w:rsid w:val="009B36D9"/>
    <w:rsid w:val="00A24B6D"/>
    <w:rsid w:val="00A67526"/>
    <w:rsid w:val="00A75047"/>
    <w:rsid w:val="00AC5495"/>
    <w:rsid w:val="00B74AE5"/>
    <w:rsid w:val="00C229D8"/>
    <w:rsid w:val="00C7184A"/>
    <w:rsid w:val="00C71F08"/>
    <w:rsid w:val="00C8677E"/>
    <w:rsid w:val="00D64CA2"/>
    <w:rsid w:val="00D85135"/>
    <w:rsid w:val="00E96B1C"/>
    <w:rsid w:val="00EA71CE"/>
    <w:rsid w:val="00F20BF0"/>
    <w:rsid w:val="00F8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55DCA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iektau@tatar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Владимир Архипов</cp:lastModifiedBy>
  <cp:revision>3</cp:revision>
  <cp:lastPrinted>2017-03-27T10:10:00Z</cp:lastPrinted>
  <dcterms:created xsi:type="dcterms:W3CDTF">2017-11-23T19:17:00Z</dcterms:created>
  <dcterms:modified xsi:type="dcterms:W3CDTF">2017-11-23T19:17:00Z</dcterms:modified>
</cp:coreProperties>
</file>