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4B27BE" w:rsidRPr="00907A20" w:rsidTr="000D5EC3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1F3E2F" w:rsidRPr="001045A3" w:rsidTr="00CA03A1">
              <w:trPr>
                <w:trHeight w:val="1123"/>
              </w:trPr>
              <w:tc>
                <w:tcPr>
                  <w:tcW w:w="4470" w:type="dxa"/>
                </w:tcPr>
                <w:p w:rsidR="004B27BE" w:rsidRPr="00E55EF8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E55E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9B0D84" w:rsidRDefault="009B0D84" w:rsidP="00907A2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301F2B1" wp14:editId="3CC854A1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E55EF8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9B0D84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="001F3E2F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4B27BE" w:rsidRPr="00E55EF8" w:rsidRDefault="004B27BE" w:rsidP="000D5EC3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</w:t>
                  </w:r>
                  <w:r w:rsidR="001F3E2F">
                    <w:rPr>
                      <w:noProof/>
                      <w:spacing w:val="4"/>
                      <w:sz w:val="18"/>
                      <w:szCs w:val="18"/>
                    </w:rPr>
                    <w:t>Тата</w:t>
                  </w: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рстан Республикасы, 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E55EF8" w:rsidRPr="001045A3" w:rsidRDefault="004B27BE" w:rsidP="000D5EC3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9" w:history="1"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biektau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@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tatar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E55E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0" w:history="1"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www</w:t>
              </w:r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4B27BE" w:rsidRPr="001045A3" w:rsidTr="00CA03A1">
              <w:trPr>
                <w:trHeight w:val="1123"/>
              </w:trPr>
              <w:tc>
                <w:tcPr>
                  <w:tcW w:w="4470" w:type="dxa"/>
                </w:tcPr>
                <w:p w:rsidR="004B27BE" w:rsidRPr="001045A3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6386A4" wp14:editId="41313FD5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1045A3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4B27BE" w:rsidRPr="001045A3" w:rsidRDefault="004B27BE" w:rsidP="00907A2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1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907A20" w:rsidRDefault="00A034E3" w:rsidP="00907A20">
      <w:pPr>
        <w:rPr>
          <w:sz w:val="20"/>
          <w:szCs w:val="20"/>
        </w:rPr>
      </w:pPr>
    </w:p>
    <w:p w:rsidR="00A034E3" w:rsidRDefault="00A034E3" w:rsidP="00A034E3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A034E3" w:rsidRDefault="00A034E3" w:rsidP="00A034E3"/>
    <w:p w:rsidR="00CA03A1" w:rsidRDefault="00CA03A1" w:rsidP="00CA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03A1">
        <w:rPr>
          <w:sz w:val="28"/>
          <w:szCs w:val="28"/>
        </w:rPr>
        <w:t xml:space="preserve">от </w:t>
      </w:r>
      <w:r w:rsidR="005D678C">
        <w:rPr>
          <w:sz w:val="28"/>
          <w:szCs w:val="28"/>
        </w:rPr>
        <w:t xml:space="preserve">«01» ноября </w:t>
      </w:r>
      <w:r w:rsidRPr="00CA03A1">
        <w:rPr>
          <w:sz w:val="28"/>
          <w:szCs w:val="28"/>
        </w:rPr>
        <w:t>201</w:t>
      </w:r>
      <w:r w:rsidR="00C5714E">
        <w:rPr>
          <w:sz w:val="28"/>
          <w:szCs w:val="28"/>
        </w:rPr>
        <w:t>7</w:t>
      </w:r>
      <w:r w:rsidRPr="00CA03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</w:t>
      </w:r>
      <w:r w:rsidR="005D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5D678C">
        <w:rPr>
          <w:sz w:val="28"/>
          <w:szCs w:val="28"/>
        </w:rPr>
        <w:t>173</w:t>
      </w:r>
      <w:r>
        <w:rPr>
          <w:sz w:val="28"/>
          <w:szCs w:val="28"/>
        </w:rPr>
        <w:t xml:space="preserve">  </w:t>
      </w:r>
      <w:r w:rsidRPr="00CA03A1">
        <w:rPr>
          <w:sz w:val="28"/>
          <w:szCs w:val="28"/>
        </w:rPr>
        <w:tab/>
      </w:r>
    </w:p>
    <w:p w:rsidR="00CA03A1" w:rsidRPr="00CA03A1" w:rsidRDefault="00CA03A1" w:rsidP="00CA03A1">
      <w:pPr>
        <w:jc w:val="both"/>
        <w:rPr>
          <w:sz w:val="28"/>
          <w:szCs w:val="28"/>
        </w:rPr>
      </w:pPr>
    </w:p>
    <w:p w:rsidR="00FB5105" w:rsidRDefault="00FB5105" w:rsidP="00FB5105">
      <w:pPr>
        <w:widowControl w:val="0"/>
        <w:autoSpaceDE w:val="0"/>
        <w:autoSpaceDN w:val="0"/>
        <w:adjustRightInd w:val="0"/>
        <w:ind w:right="4649"/>
        <w:jc w:val="both"/>
        <w:rPr>
          <w:b/>
          <w:sz w:val="28"/>
          <w:szCs w:val="28"/>
          <w:lang w:eastAsia="en-US"/>
        </w:rPr>
      </w:pPr>
      <w:bookmarkStart w:id="0" w:name="_Hlk497240089"/>
      <w:r w:rsidRPr="00FB5105">
        <w:rPr>
          <w:b/>
          <w:sz w:val="28"/>
          <w:szCs w:val="28"/>
          <w:lang w:eastAsia="en-US"/>
        </w:rPr>
        <w:t>Об итогах реализации районной программы по профилактике наркотизации населения Высокогорского муниципального района</w:t>
      </w:r>
    </w:p>
    <w:bookmarkEnd w:id="0"/>
    <w:p w:rsidR="00FB5105" w:rsidRPr="00FB5105" w:rsidRDefault="00FB5105" w:rsidP="00FB5105">
      <w:pPr>
        <w:widowControl w:val="0"/>
        <w:autoSpaceDE w:val="0"/>
        <w:autoSpaceDN w:val="0"/>
        <w:adjustRightInd w:val="0"/>
        <w:ind w:right="4649"/>
        <w:jc w:val="both"/>
        <w:rPr>
          <w:b/>
          <w:bCs/>
          <w:sz w:val="28"/>
          <w:szCs w:val="28"/>
          <w:lang w:eastAsia="en-US"/>
        </w:rPr>
      </w:pPr>
    </w:p>
    <w:p w:rsidR="00FB5105" w:rsidRPr="00FB5105" w:rsidRDefault="00FB5105" w:rsidP="00FB51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5105">
        <w:rPr>
          <w:rFonts w:eastAsiaTheme="minorHAnsi"/>
          <w:sz w:val="28"/>
          <w:szCs w:val="28"/>
          <w:lang w:eastAsia="en-US"/>
        </w:rPr>
        <w:t xml:space="preserve">Заслушав и обсудив информацию </w:t>
      </w:r>
      <w:r w:rsidRPr="00FB5105">
        <w:rPr>
          <w:b/>
          <w:sz w:val="28"/>
          <w:szCs w:val="28"/>
          <w:lang w:eastAsia="en-US"/>
        </w:rPr>
        <w:t>«</w:t>
      </w:r>
      <w:r w:rsidRPr="00FB5105">
        <w:rPr>
          <w:sz w:val="28"/>
          <w:szCs w:val="28"/>
          <w:lang w:eastAsia="en-US"/>
        </w:rPr>
        <w:t>Об итогах реализации районной программы по профилактике наркотизации населения Высокогорского муниципального района</w:t>
      </w:r>
      <w:r w:rsidRPr="00FB5105">
        <w:rPr>
          <w:bCs/>
          <w:sz w:val="28"/>
          <w:szCs w:val="28"/>
          <w:lang w:eastAsia="en-US"/>
        </w:rPr>
        <w:t>» (далее-Программа)</w:t>
      </w:r>
      <w:r w:rsidRPr="00FB5105">
        <w:rPr>
          <w:rFonts w:eastAsiaTheme="minorHAnsi"/>
          <w:sz w:val="28"/>
          <w:szCs w:val="28"/>
          <w:lang w:eastAsia="en-US"/>
        </w:rPr>
        <w:t>, Совет Высокогорского муниципального района отмечает, что в цел</w:t>
      </w:r>
      <w:r>
        <w:rPr>
          <w:rFonts w:eastAsiaTheme="minorHAnsi"/>
          <w:sz w:val="28"/>
          <w:szCs w:val="28"/>
          <w:lang w:eastAsia="en-US"/>
        </w:rPr>
        <w:t>ом ц</w:t>
      </w:r>
      <w:r w:rsidRPr="00FB5105">
        <w:rPr>
          <w:rFonts w:eastAsiaTheme="minorHAnsi"/>
          <w:sz w:val="28"/>
          <w:szCs w:val="28"/>
          <w:lang w:eastAsia="en-US"/>
        </w:rPr>
        <w:t xml:space="preserve">еленаправленная и комплексная работа отделов и ведомств, общественных организаций района </w:t>
      </w:r>
      <w:r>
        <w:rPr>
          <w:rFonts w:eastAsiaTheme="minorHAnsi"/>
          <w:sz w:val="28"/>
          <w:szCs w:val="28"/>
          <w:lang w:eastAsia="en-US"/>
        </w:rPr>
        <w:t xml:space="preserve">по Программе </w:t>
      </w:r>
      <w:r w:rsidRPr="00FB5105">
        <w:rPr>
          <w:rFonts w:eastAsiaTheme="minorHAnsi"/>
          <w:sz w:val="28"/>
          <w:szCs w:val="28"/>
          <w:lang w:eastAsia="en-US"/>
        </w:rPr>
        <w:t xml:space="preserve">позволила достичь определенных положительных результатов в сфере противодействия распространению наркомании. </w:t>
      </w:r>
      <w:r>
        <w:rPr>
          <w:rFonts w:eastAsia="Calibri"/>
          <w:sz w:val="28"/>
          <w:szCs w:val="28"/>
          <w:lang w:eastAsia="en-US"/>
        </w:rPr>
        <w:t xml:space="preserve">Во всех </w:t>
      </w:r>
      <w:r w:rsidRPr="00FB5105">
        <w:rPr>
          <w:rFonts w:eastAsia="Calibri"/>
          <w:sz w:val="28"/>
          <w:szCs w:val="28"/>
          <w:lang w:eastAsia="en-US"/>
        </w:rPr>
        <w:t xml:space="preserve">общеобразовательных учреждениях, учреждениях культуры </w:t>
      </w:r>
      <w:r>
        <w:rPr>
          <w:rFonts w:eastAsia="Calibri"/>
          <w:sz w:val="28"/>
          <w:szCs w:val="28"/>
          <w:lang w:eastAsia="en-US"/>
        </w:rPr>
        <w:t>проводились</w:t>
      </w:r>
      <w:r w:rsidRPr="00FB5105">
        <w:rPr>
          <w:rFonts w:eastAsia="Calibri"/>
          <w:sz w:val="28"/>
          <w:szCs w:val="28"/>
          <w:lang w:eastAsia="en-US"/>
        </w:rPr>
        <w:t xml:space="preserve"> различны</w:t>
      </w:r>
      <w:r>
        <w:rPr>
          <w:rFonts w:eastAsia="Calibri"/>
          <w:sz w:val="28"/>
          <w:szCs w:val="28"/>
          <w:lang w:eastAsia="en-US"/>
        </w:rPr>
        <w:t>е</w:t>
      </w:r>
      <w:r w:rsidRPr="00FB5105">
        <w:rPr>
          <w:rFonts w:eastAsia="Calibri"/>
          <w:sz w:val="28"/>
          <w:szCs w:val="28"/>
          <w:lang w:eastAsia="en-US"/>
        </w:rPr>
        <w:t xml:space="preserve"> форм</w:t>
      </w:r>
      <w:r>
        <w:rPr>
          <w:rFonts w:eastAsia="Calibri"/>
          <w:sz w:val="28"/>
          <w:szCs w:val="28"/>
          <w:lang w:eastAsia="en-US"/>
        </w:rPr>
        <w:t>ы</w:t>
      </w:r>
      <w:r w:rsidRPr="00FB5105">
        <w:rPr>
          <w:rFonts w:eastAsia="Calibri"/>
          <w:sz w:val="28"/>
          <w:szCs w:val="28"/>
          <w:lang w:eastAsia="en-US"/>
        </w:rPr>
        <w:t xml:space="preserve"> профилактических мероприятий</w:t>
      </w:r>
      <w:r>
        <w:rPr>
          <w:rFonts w:eastAsia="Calibri"/>
          <w:sz w:val="28"/>
          <w:szCs w:val="28"/>
          <w:lang w:eastAsia="en-US"/>
        </w:rPr>
        <w:t>, которые способствовали реализации мероприятий Программы.</w:t>
      </w:r>
    </w:p>
    <w:p w:rsidR="00FB5105" w:rsidRDefault="00FB5105" w:rsidP="00FB51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5105">
        <w:rPr>
          <w:rFonts w:eastAsiaTheme="minorHAnsi"/>
          <w:sz w:val="28"/>
          <w:szCs w:val="28"/>
          <w:lang w:eastAsia="en-US"/>
        </w:rPr>
        <w:t>Отмечая острую необходимость усиления мер по противодействию распространения наркотиков, а также проведения эффективных профилактических мер среди подростков и молодежи, Совет Высокогорского муниципального района</w:t>
      </w:r>
    </w:p>
    <w:p w:rsidR="00FB5105" w:rsidRPr="00FB5105" w:rsidRDefault="00FB5105" w:rsidP="00FB51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B5105" w:rsidRPr="00FB5105" w:rsidRDefault="00FB5105" w:rsidP="00FB51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B5105">
        <w:rPr>
          <w:b/>
          <w:sz w:val="28"/>
          <w:szCs w:val="28"/>
          <w:lang w:eastAsia="en-US"/>
        </w:rPr>
        <w:t>РЕШИЛ:</w:t>
      </w:r>
    </w:p>
    <w:p w:rsidR="00FB5105" w:rsidRPr="00FB5105" w:rsidRDefault="00FB5105" w:rsidP="00FB51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105">
        <w:rPr>
          <w:sz w:val="28"/>
          <w:szCs w:val="28"/>
          <w:lang w:eastAsia="en-US"/>
        </w:rPr>
        <w:t>1. Информацию «Об итогах реализации районной программы по профилактике наркотизации населения Высокогорского муниципального района</w:t>
      </w:r>
      <w:r w:rsidRPr="00FB5105">
        <w:rPr>
          <w:bCs/>
          <w:sz w:val="28"/>
          <w:szCs w:val="28"/>
          <w:lang w:eastAsia="en-US"/>
        </w:rPr>
        <w:t>»</w:t>
      </w:r>
      <w:r w:rsidRPr="00FB5105">
        <w:rPr>
          <w:sz w:val="28"/>
          <w:szCs w:val="28"/>
          <w:lang w:eastAsia="en-US"/>
        </w:rPr>
        <w:t xml:space="preserve"> принять к сведению.</w:t>
      </w:r>
      <w:r w:rsidRPr="00FB5105">
        <w:rPr>
          <w:sz w:val="28"/>
          <w:szCs w:val="28"/>
        </w:rPr>
        <w:t xml:space="preserve">  </w:t>
      </w:r>
    </w:p>
    <w:p w:rsidR="00FB5105" w:rsidRPr="00FB5105" w:rsidRDefault="00FB5105" w:rsidP="00FB5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5105">
        <w:rPr>
          <w:sz w:val="28"/>
          <w:szCs w:val="28"/>
        </w:rPr>
        <w:t>2.  Рекомендовать:</w:t>
      </w:r>
    </w:p>
    <w:p w:rsidR="00FB5105" w:rsidRPr="00FB5105" w:rsidRDefault="00FB5105" w:rsidP="00FB5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105">
        <w:rPr>
          <w:sz w:val="28"/>
          <w:szCs w:val="28"/>
        </w:rPr>
        <w:t xml:space="preserve">        - Исполнительному комитету муниципального района, М</w:t>
      </w:r>
      <w:r>
        <w:rPr>
          <w:sz w:val="28"/>
          <w:szCs w:val="28"/>
        </w:rPr>
        <w:t>К</w:t>
      </w:r>
      <w:r w:rsidRPr="00FB5105">
        <w:rPr>
          <w:sz w:val="28"/>
          <w:szCs w:val="28"/>
        </w:rPr>
        <w:t>У "Отдел по делам молодёжи и спорту Исполнительного комитета Высокогорского муниципального района РТ", М</w:t>
      </w:r>
      <w:r>
        <w:rPr>
          <w:sz w:val="28"/>
          <w:szCs w:val="28"/>
        </w:rPr>
        <w:t>К</w:t>
      </w:r>
      <w:r w:rsidRPr="00FB5105">
        <w:rPr>
          <w:sz w:val="28"/>
          <w:szCs w:val="28"/>
        </w:rPr>
        <w:t>У "Отдел культуры Исполнительного комитета Высокогорского муниципального района РТ", М</w:t>
      </w:r>
      <w:r>
        <w:rPr>
          <w:sz w:val="28"/>
          <w:szCs w:val="28"/>
        </w:rPr>
        <w:t>К</w:t>
      </w:r>
      <w:r w:rsidRPr="00FB5105">
        <w:rPr>
          <w:sz w:val="28"/>
          <w:szCs w:val="28"/>
        </w:rPr>
        <w:t xml:space="preserve">У "Отдел образования Исполнительного комитета Высокогорского муниципального района РТ", Государственное автономное учреждение здравоохранения «Высокогорская центральная больница», </w:t>
      </w:r>
      <w:r w:rsidRPr="00FB5105">
        <w:rPr>
          <w:rFonts w:eastAsiaTheme="minorHAnsi"/>
          <w:sz w:val="28"/>
          <w:szCs w:val="28"/>
          <w:lang w:eastAsia="en-US"/>
        </w:rPr>
        <w:t xml:space="preserve">общественным объединениям, религиозным организациям, </w:t>
      </w:r>
      <w:r w:rsidRPr="00FB5105">
        <w:rPr>
          <w:sz w:val="28"/>
          <w:szCs w:val="28"/>
        </w:rPr>
        <w:t xml:space="preserve">органам местного самоуправления поселений в пределах компетенций, руководителям организаций, учреждений независимо от организационно-правовой формы собственности </w:t>
      </w:r>
      <w:r w:rsidR="00C71FE0">
        <w:rPr>
          <w:sz w:val="28"/>
          <w:szCs w:val="28"/>
        </w:rPr>
        <w:lastRenderedPageBreak/>
        <w:t xml:space="preserve">продолжить работу по </w:t>
      </w:r>
      <w:r w:rsidRPr="00FB5105">
        <w:rPr>
          <w:sz w:val="28"/>
          <w:szCs w:val="28"/>
        </w:rPr>
        <w:t>вопросам профилактики наркомании в молодежной среде, формирования у населения отрицательного отношения к потреблению наркотиков и мотивации на ведение здорового образа жизни;</w:t>
      </w:r>
    </w:p>
    <w:p w:rsidR="00FB5105" w:rsidRPr="00FB5105" w:rsidRDefault="00FB5105" w:rsidP="00FB510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5105">
        <w:rPr>
          <w:rFonts w:eastAsia="Calibri"/>
          <w:sz w:val="28"/>
          <w:szCs w:val="28"/>
          <w:lang w:eastAsia="en-US"/>
        </w:rPr>
        <w:t>- МО</w:t>
      </w:r>
      <w:r w:rsidR="00C71FE0">
        <w:rPr>
          <w:rFonts w:eastAsia="Calibri"/>
          <w:sz w:val="28"/>
          <w:szCs w:val="28"/>
          <w:lang w:eastAsia="en-US"/>
        </w:rPr>
        <w:t xml:space="preserve"> </w:t>
      </w:r>
      <w:r w:rsidRPr="00FB5105">
        <w:rPr>
          <w:rFonts w:eastAsia="Calibri"/>
          <w:sz w:val="28"/>
          <w:szCs w:val="28"/>
          <w:lang w:eastAsia="en-US"/>
        </w:rPr>
        <w:t xml:space="preserve">МВД России «Высокогорский» </w:t>
      </w:r>
      <w:r w:rsidRPr="00FB5105">
        <w:rPr>
          <w:sz w:val="28"/>
          <w:szCs w:val="28"/>
          <w:lang w:eastAsia="en-US"/>
        </w:rPr>
        <w:t xml:space="preserve">продолжить работу по борьбе с незаконным оборотом наркотиков, </w:t>
      </w:r>
      <w:r w:rsidRPr="00FB5105">
        <w:rPr>
          <w:rFonts w:eastAsiaTheme="minorHAnsi"/>
          <w:sz w:val="28"/>
          <w:szCs w:val="28"/>
          <w:lang w:eastAsia="en-US"/>
        </w:rPr>
        <w:t>по пресечению контрабанды наркотиков, противодействию организованным формам наркопреступности.</w:t>
      </w:r>
    </w:p>
    <w:p w:rsidR="00FB5105" w:rsidRPr="00FB5105" w:rsidRDefault="00FB5105" w:rsidP="00FB51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5105">
        <w:rPr>
          <w:sz w:val="28"/>
          <w:szCs w:val="28"/>
          <w:lang w:eastAsia="en-US"/>
        </w:rPr>
        <w:t xml:space="preserve">        3. Опубликовать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</w:t>
      </w:r>
      <w:bookmarkStart w:id="1" w:name="_GoBack"/>
      <w:bookmarkEnd w:id="1"/>
      <w:r w:rsidRPr="00FB5105">
        <w:rPr>
          <w:sz w:val="28"/>
          <w:szCs w:val="28"/>
          <w:lang w:eastAsia="en-US"/>
        </w:rPr>
        <w:t>vysokaya-gora.tatarstan.ru.</w:t>
      </w:r>
    </w:p>
    <w:p w:rsidR="00FB5105" w:rsidRDefault="00FB5105" w:rsidP="00FB51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B5105">
        <w:rPr>
          <w:sz w:val="28"/>
          <w:szCs w:val="28"/>
          <w:lang w:eastAsia="en-US"/>
        </w:rPr>
        <w:t>4. Контроль за выполнением настоящего решения возложить на постоянную комиссию по социальной политике</w:t>
      </w:r>
      <w:r w:rsidR="00C71FE0">
        <w:rPr>
          <w:sz w:val="28"/>
          <w:szCs w:val="28"/>
          <w:lang w:eastAsia="en-US"/>
        </w:rPr>
        <w:t>, здравоохранению, культуре, спорту</w:t>
      </w:r>
      <w:r w:rsidRPr="00FB5105">
        <w:rPr>
          <w:sz w:val="28"/>
          <w:szCs w:val="28"/>
          <w:lang w:eastAsia="en-US"/>
        </w:rPr>
        <w:t xml:space="preserve"> и </w:t>
      </w:r>
      <w:r w:rsidR="00C71FE0">
        <w:rPr>
          <w:sz w:val="28"/>
          <w:szCs w:val="28"/>
          <w:lang w:eastAsia="en-US"/>
        </w:rPr>
        <w:t>молодежной политике</w:t>
      </w:r>
      <w:r w:rsidRPr="00FB5105">
        <w:rPr>
          <w:sz w:val="28"/>
          <w:szCs w:val="28"/>
          <w:lang w:eastAsia="en-US"/>
        </w:rPr>
        <w:t xml:space="preserve"> Совета Высокогорского муниципального района.</w:t>
      </w:r>
    </w:p>
    <w:p w:rsidR="00C71FE0" w:rsidRPr="00FB5105" w:rsidRDefault="00C71FE0" w:rsidP="00FB51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FB5105" w:rsidRPr="00FB5105" w:rsidRDefault="00FB5105" w:rsidP="00FB51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FB5105" w:rsidRPr="00FB5105" w:rsidRDefault="00FB5105" w:rsidP="00C71F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5105">
        <w:rPr>
          <w:sz w:val="28"/>
          <w:szCs w:val="28"/>
          <w:lang w:eastAsia="en-US"/>
        </w:rPr>
        <w:t xml:space="preserve">Председатель Совета района, </w:t>
      </w:r>
    </w:p>
    <w:p w:rsidR="00D60C72" w:rsidRPr="00D61425" w:rsidRDefault="00FB5105" w:rsidP="00C71FE0">
      <w:pPr>
        <w:jc w:val="both"/>
        <w:rPr>
          <w:sz w:val="28"/>
          <w:szCs w:val="28"/>
        </w:rPr>
      </w:pPr>
      <w:r w:rsidRPr="00FB5105">
        <w:rPr>
          <w:sz w:val="28"/>
          <w:szCs w:val="28"/>
          <w:lang w:eastAsia="en-US"/>
        </w:rPr>
        <w:t xml:space="preserve">Глава муниципального района           </w:t>
      </w:r>
      <w:r w:rsidR="00C71FE0">
        <w:rPr>
          <w:sz w:val="28"/>
          <w:szCs w:val="28"/>
          <w:lang w:eastAsia="en-US"/>
        </w:rPr>
        <w:t xml:space="preserve">                                               Р.Г.</w:t>
      </w:r>
      <w:r w:rsidRPr="00FB5105">
        <w:rPr>
          <w:sz w:val="28"/>
          <w:szCs w:val="28"/>
          <w:lang w:eastAsia="en-US"/>
        </w:rPr>
        <w:t xml:space="preserve"> </w:t>
      </w:r>
      <w:r w:rsidR="00C71FE0">
        <w:rPr>
          <w:sz w:val="28"/>
          <w:szCs w:val="28"/>
          <w:lang w:eastAsia="en-US"/>
        </w:rPr>
        <w:t xml:space="preserve"> Калимуллин</w:t>
      </w:r>
      <w:r w:rsidRPr="00FB5105">
        <w:rPr>
          <w:sz w:val="28"/>
          <w:szCs w:val="28"/>
          <w:lang w:eastAsia="en-US"/>
        </w:rPr>
        <w:t xml:space="preserve">  </w:t>
      </w:r>
    </w:p>
    <w:sectPr w:rsidR="00D60C72" w:rsidRPr="00D61425" w:rsidSect="006A6DDF">
      <w:footerReference w:type="default" r:id="rId12"/>
      <w:pgSz w:w="11906" w:h="16838"/>
      <w:pgMar w:top="1135" w:right="707" w:bottom="993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F8" w:rsidRDefault="00293AF8" w:rsidP="00A034E3">
      <w:r>
        <w:separator/>
      </w:r>
    </w:p>
  </w:endnote>
  <w:endnote w:type="continuationSeparator" w:id="0">
    <w:p w:rsidR="00293AF8" w:rsidRDefault="00293AF8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4E" w:rsidRDefault="00C5714E">
    <w:pPr>
      <w:pStyle w:val="a5"/>
      <w:jc w:val="center"/>
    </w:pPr>
  </w:p>
  <w:p w:rsidR="00C5714E" w:rsidRDefault="00C57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F8" w:rsidRDefault="00293AF8" w:rsidP="00A034E3">
      <w:r>
        <w:separator/>
      </w:r>
    </w:p>
  </w:footnote>
  <w:footnote w:type="continuationSeparator" w:id="0">
    <w:p w:rsidR="00293AF8" w:rsidRDefault="00293AF8" w:rsidP="00A0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89051B"/>
    <w:multiLevelType w:val="hybridMultilevel"/>
    <w:tmpl w:val="AFF6FCF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5734C"/>
    <w:multiLevelType w:val="hybridMultilevel"/>
    <w:tmpl w:val="8FAEB2A2"/>
    <w:lvl w:ilvl="0" w:tplc="EFBED3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5544D"/>
    <w:rsid w:val="00070620"/>
    <w:rsid w:val="000B4FD7"/>
    <w:rsid w:val="000D5EC3"/>
    <w:rsid w:val="000D5FE2"/>
    <w:rsid w:val="00175145"/>
    <w:rsid w:val="001857E1"/>
    <w:rsid w:val="001917F9"/>
    <w:rsid w:val="001C6987"/>
    <w:rsid w:val="001F3E2F"/>
    <w:rsid w:val="00274F5E"/>
    <w:rsid w:val="00292033"/>
    <w:rsid w:val="00293AF8"/>
    <w:rsid w:val="002C68F9"/>
    <w:rsid w:val="002D326B"/>
    <w:rsid w:val="00323E4B"/>
    <w:rsid w:val="003412C0"/>
    <w:rsid w:val="003B2253"/>
    <w:rsid w:val="003D375A"/>
    <w:rsid w:val="0041575B"/>
    <w:rsid w:val="004569A7"/>
    <w:rsid w:val="0047510A"/>
    <w:rsid w:val="00484391"/>
    <w:rsid w:val="004A1EDA"/>
    <w:rsid w:val="004A28DE"/>
    <w:rsid w:val="004B27BE"/>
    <w:rsid w:val="004D322E"/>
    <w:rsid w:val="004F5EFF"/>
    <w:rsid w:val="005008F3"/>
    <w:rsid w:val="00517F4B"/>
    <w:rsid w:val="00590EE0"/>
    <w:rsid w:val="005A2E4F"/>
    <w:rsid w:val="005D678C"/>
    <w:rsid w:val="005D769E"/>
    <w:rsid w:val="00640F62"/>
    <w:rsid w:val="00690416"/>
    <w:rsid w:val="00691215"/>
    <w:rsid w:val="00693B80"/>
    <w:rsid w:val="006A6DDF"/>
    <w:rsid w:val="006C595B"/>
    <w:rsid w:val="006C6E6D"/>
    <w:rsid w:val="006E5F27"/>
    <w:rsid w:val="007030C4"/>
    <w:rsid w:val="0072645D"/>
    <w:rsid w:val="00734BFA"/>
    <w:rsid w:val="00735EDB"/>
    <w:rsid w:val="007A181A"/>
    <w:rsid w:val="007A1F89"/>
    <w:rsid w:val="007C675C"/>
    <w:rsid w:val="007D4754"/>
    <w:rsid w:val="008E58B3"/>
    <w:rsid w:val="008F53F6"/>
    <w:rsid w:val="00907A20"/>
    <w:rsid w:val="00966184"/>
    <w:rsid w:val="00980FB4"/>
    <w:rsid w:val="009B0D84"/>
    <w:rsid w:val="009C4C8D"/>
    <w:rsid w:val="00A034E3"/>
    <w:rsid w:val="00A45412"/>
    <w:rsid w:val="00BE0A54"/>
    <w:rsid w:val="00C115B1"/>
    <w:rsid w:val="00C15300"/>
    <w:rsid w:val="00C162E4"/>
    <w:rsid w:val="00C5714E"/>
    <w:rsid w:val="00C71FE0"/>
    <w:rsid w:val="00C806CD"/>
    <w:rsid w:val="00C807CA"/>
    <w:rsid w:val="00CA03A1"/>
    <w:rsid w:val="00CB6147"/>
    <w:rsid w:val="00CE0FA5"/>
    <w:rsid w:val="00CF4321"/>
    <w:rsid w:val="00D0649B"/>
    <w:rsid w:val="00D439B9"/>
    <w:rsid w:val="00D60C72"/>
    <w:rsid w:val="00D61425"/>
    <w:rsid w:val="00E228EC"/>
    <w:rsid w:val="00E32590"/>
    <w:rsid w:val="00E42A1B"/>
    <w:rsid w:val="00E55EF8"/>
    <w:rsid w:val="00EB0791"/>
    <w:rsid w:val="00F32AF5"/>
    <w:rsid w:val="00F57D00"/>
    <w:rsid w:val="00F767AB"/>
    <w:rsid w:val="00FB2C54"/>
    <w:rsid w:val="00FB5105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E4D0"/>
  <w15:docId w15:val="{84DC0646-2557-4884-9CD6-FBA0600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A03A1"/>
    <w:rPr>
      <w:rFonts w:ascii="Arial" w:eastAsia="Calibri" w:hAnsi="Arial" w:cs="Arial"/>
      <w:b/>
      <w:bCs/>
      <w:color w:val="000080"/>
      <w:lang w:eastAsia="ru-RU"/>
    </w:rPr>
  </w:style>
  <w:style w:type="character" w:customStyle="1" w:styleId="af">
    <w:name w:val="Цветовое выделение"/>
    <w:rsid w:val="00CA03A1"/>
    <w:rPr>
      <w:b/>
      <w:color w:val="000080"/>
      <w:sz w:val="22"/>
    </w:rPr>
  </w:style>
  <w:style w:type="paragraph" w:customStyle="1" w:styleId="ConsTitle">
    <w:name w:val="ConsTitle"/>
    <w:rsid w:val="00CA0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f0">
    <w:name w:val="Mention"/>
    <w:basedOn w:val="a0"/>
    <w:uiPriority w:val="99"/>
    <w:semiHidden/>
    <w:unhideWhenUsed/>
    <w:rsid w:val="00C115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29240E2-AEDF-475A-9897-CAD74EA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User</cp:lastModifiedBy>
  <cp:revision>22</cp:revision>
  <cp:lastPrinted>2016-07-14T12:28:00Z</cp:lastPrinted>
  <dcterms:created xsi:type="dcterms:W3CDTF">2016-05-16T13:43:00Z</dcterms:created>
  <dcterms:modified xsi:type="dcterms:W3CDTF">2017-11-02T08:27:00Z</dcterms:modified>
</cp:coreProperties>
</file>